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B460" w14:textId="77777777" w:rsidR="00047625" w:rsidRPr="0039000B" w:rsidRDefault="00047625" w:rsidP="00047625">
      <w:pPr>
        <w:jc w:val="center"/>
        <w:rPr>
          <w:rFonts w:ascii="Arial" w:hAnsi="Arial" w:cs="Arial"/>
          <w:b/>
          <w:sz w:val="20"/>
          <w:szCs w:val="20"/>
        </w:rPr>
      </w:pPr>
      <w:r w:rsidRPr="0039000B">
        <w:rPr>
          <w:rFonts w:ascii="Arial" w:hAnsi="Arial" w:cs="Arial"/>
          <w:b/>
          <w:sz w:val="20"/>
          <w:szCs w:val="20"/>
        </w:rPr>
        <w:t>NOTAS DE GESTIÓN ADMINISTRATIVA</w:t>
      </w:r>
    </w:p>
    <w:p w14:paraId="45B5C415" w14:textId="5E7856C4" w:rsidR="008C3553" w:rsidRPr="0039000B" w:rsidRDefault="008C3553" w:rsidP="00047625">
      <w:pPr>
        <w:jc w:val="both"/>
        <w:rPr>
          <w:rFonts w:ascii="Arial" w:hAnsi="Arial" w:cs="Arial"/>
          <w:sz w:val="20"/>
          <w:szCs w:val="20"/>
        </w:rPr>
      </w:pPr>
      <w:r w:rsidRPr="0039000B">
        <w:rPr>
          <w:rFonts w:ascii="Arial" w:hAnsi="Arial" w:cs="Arial"/>
          <w:sz w:val="20"/>
          <w:szCs w:val="20"/>
        </w:rPr>
        <w:t>De l</w:t>
      </w:r>
      <w:r w:rsidR="00047625" w:rsidRPr="0039000B">
        <w:rPr>
          <w:rFonts w:ascii="Arial" w:hAnsi="Arial" w:cs="Arial"/>
          <w:sz w:val="20"/>
          <w:szCs w:val="20"/>
        </w:rPr>
        <w:t>os Estados Financieros de</w:t>
      </w:r>
      <w:r w:rsidRPr="0039000B">
        <w:rPr>
          <w:rFonts w:ascii="Arial" w:hAnsi="Arial" w:cs="Arial"/>
          <w:sz w:val="20"/>
          <w:szCs w:val="20"/>
        </w:rPr>
        <w:t>l Sistema Avanzado de Bachillerato y Educación Superior en el Estado de Guanajuato al 3</w:t>
      </w:r>
      <w:r w:rsidR="00FC2693">
        <w:rPr>
          <w:rFonts w:ascii="Arial" w:hAnsi="Arial" w:cs="Arial"/>
          <w:sz w:val="20"/>
          <w:szCs w:val="20"/>
        </w:rPr>
        <w:t>1</w:t>
      </w:r>
      <w:r w:rsidRPr="0039000B">
        <w:rPr>
          <w:rFonts w:ascii="Arial" w:hAnsi="Arial" w:cs="Arial"/>
          <w:sz w:val="20"/>
          <w:szCs w:val="20"/>
        </w:rPr>
        <w:t xml:space="preserve"> de </w:t>
      </w:r>
      <w:r w:rsidR="00FC2693">
        <w:rPr>
          <w:rFonts w:ascii="Arial" w:hAnsi="Arial" w:cs="Arial"/>
          <w:sz w:val="20"/>
          <w:szCs w:val="20"/>
        </w:rPr>
        <w:t>dici</w:t>
      </w:r>
      <w:r w:rsidR="001D75CC">
        <w:rPr>
          <w:rFonts w:ascii="Arial" w:hAnsi="Arial" w:cs="Arial"/>
          <w:sz w:val="20"/>
          <w:szCs w:val="20"/>
        </w:rPr>
        <w:t xml:space="preserve">embre </w:t>
      </w:r>
      <w:r w:rsidRPr="0039000B">
        <w:rPr>
          <w:rFonts w:ascii="Arial" w:hAnsi="Arial" w:cs="Arial"/>
          <w:sz w:val="20"/>
          <w:szCs w:val="20"/>
        </w:rPr>
        <w:t>de 20</w:t>
      </w:r>
      <w:r w:rsidR="00167C49" w:rsidRPr="0039000B">
        <w:rPr>
          <w:rFonts w:ascii="Arial" w:hAnsi="Arial" w:cs="Arial"/>
          <w:sz w:val="20"/>
          <w:szCs w:val="20"/>
        </w:rPr>
        <w:t>2</w:t>
      </w:r>
      <w:r w:rsidR="00832221">
        <w:rPr>
          <w:rFonts w:ascii="Arial" w:hAnsi="Arial" w:cs="Arial"/>
          <w:sz w:val="20"/>
          <w:szCs w:val="20"/>
        </w:rPr>
        <w:t>4.</w:t>
      </w:r>
    </w:p>
    <w:p w14:paraId="04FAD6E6" w14:textId="77777777" w:rsidR="00DC1228" w:rsidRDefault="00DC1228" w:rsidP="00DC1228">
      <w:pPr>
        <w:jc w:val="both"/>
        <w:rPr>
          <w:rFonts w:ascii="Arial" w:hAnsi="Arial" w:cs="Arial"/>
          <w:b/>
          <w:sz w:val="20"/>
          <w:szCs w:val="20"/>
        </w:rPr>
      </w:pPr>
    </w:p>
    <w:p w14:paraId="3E630B00" w14:textId="77777777" w:rsidR="00DC1228" w:rsidRDefault="00DC1228" w:rsidP="00DC1228">
      <w:pPr>
        <w:jc w:val="both"/>
        <w:rPr>
          <w:rFonts w:ascii="Arial" w:hAnsi="Arial" w:cs="Arial"/>
          <w:b/>
          <w:sz w:val="20"/>
          <w:szCs w:val="20"/>
        </w:rPr>
      </w:pPr>
    </w:p>
    <w:p w14:paraId="24EEE2AD" w14:textId="2612E835" w:rsidR="00DC1228" w:rsidRPr="0039000B" w:rsidRDefault="00DC1228" w:rsidP="00DC1228">
      <w:pPr>
        <w:jc w:val="both"/>
        <w:rPr>
          <w:rFonts w:ascii="Arial" w:hAnsi="Arial" w:cs="Arial"/>
          <w:b/>
          <w:sz w:val="20"/>
          <w:szCs w:val="20"/>
        </w:rPr>
      </w:pPr>
      <w:r>
        <w:rPr>
          <w:rFonts w:ascii="Arial" w:hAnsi="Arial" w:cs="Arial"/>
          <w:b/>
          <w:sz w:val="20"/>
          <w:szCs w:val="20"/>
        </w:rPr>
        <w:t>1</w:t>
      </w:r>
      <w:r w:rsidRPr="0039000B">
        <w:rPr>
          <w:rFonts w:ascii="Arial" w:hAnsi="Arial" w:cs="Arial"/>
          <w:b/>
          <w:sz w:val="20"/>
          <w:szCs w:val="20"/>
        </w:rPr>
        <w:t>. Autorización e Historia: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B7AC92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Se informará sobre:</w:t>
      </w:r>
    </w:p>
    <w:p w14:paraId="3083FA38"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a) Fecha de creación del SABES.</w:t>
      </w:r>
    </w:p>
    <w:p w14:paraId="52230564" w14:textId="77777777" w:rsidR="00DC1228" w:rsidRPr="0039000B" w:rsidRDefault="00DC1228" w:rsidP="00DC1228">
      <w:pPr>
        <w:jc w:val="both"/>
        <w:rPr>
          <w:rFonts w:ascii="Arial" w:hAnsi="Arial" w:cs="Arial"/>
          <w:sz w:val="20"/>
          <w:szCs w:val="20"/>
          <w:u w:val="single"/>
        </w:rPr>
      </w:pPr>
      <w:r w:rsidRPr="0039000B">
        <w:rPr>
          <w:rFonts w:ascii="Arial" w:hAnsi="Arial" w:cs="Arial"/>
          <w:sz w:val="20"/>
          <w:szCs w:val="20"/>
          <w:u w:val="single"/>
        </w:rPr>
        <w:t>25 de octubre de 1996 mediante Decreto Gubernativo No. 46.</w:t>
      </w:r>
    </w:p>
    <w:p w14:paraId="2492BF5F"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b) Principales cambios en su estructura (interna históricamente)</w:t>
      </w:r>
    </w:p>
    <w:p w14:paraId="2CC46486"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34 de reestructuración de la organización del SABES</w:t>
      </w:r>
    </w:p>
    <w:p w14:paraId="05512753"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2001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66 Reglamento interior del SABES</w:t>
      </w:r>
    </w:p>
    <w:p w14:paraId="155E48F0" w14:textId="77777777" w:rsidR="00DC1228" w:rsidRPr="0039000B" w:rsidRDefault="00DC1228" w:rsidP="00DC1228">
      <w:pPr>
        <w:jc w:val="both"/>
        <w:rPr>
          <w:rFonts w:ascii="Arial" w:hAnsi="Arial" w:cs="Arial"/>
          <w:sz w:val="20"/>
          <w:szCs w:val="20"/>
        </w:rPr>
      </w:pPr>
      <w:r w:rsidRPr="0039000B">
        <w:rPr>
          <w:rFonts w:ascii="Arial" w:hAnsi="Arial" w:cs="Arial"/>
          <w:sz w:val="20"/>
          <w:szCs w:val="20"/>
        </w:rPr>
        <w:t xml:space="preserve">2016 </w:t>
      </w:r>
      <w:proofErr w:type="gramStart"/>
      <w:r w:rsidRPr="0039000B">
        <w:rPr>
          <w:rFonts w:ascii="Arial" w:hAnsi="Arial" w:cs="Arial"/>
          <w:sz w:val="20"/>
          <w:szCs w:val="20"/>
        </w:rPr>
        <w:t>Decreto</w:t>
      </w:r>
      <w:proofErr w:type="gramEnd"/>
      <w:r w:rsidRPr="0039000B">
        <w:rPr>
          <w:rFonts w:ascii="Arial" w:hAnsi="Arial" w:cs="Arial"/>
          <w:sz w:val="20"/>
          <w:szCs w:val="20"/>
        </w:rPr>
        <w:t xml:space="preserve"> Gubernativo número 167 por el que reforma diversos dispositivos de los decretos 34 y 66</w:t>
      </w:r>
    </w:p>
    <w:p w14:paraId="6930212F" w14:textId="5D20D1FD" w:rsidR="00047625" w:rsidRPr="0039000B" w:rsidRDefault="00047625" w:rsidP="00047625">
      <w:pPr>
        <w:jc w:val="both"/>
        <w:rPr>
          <w:rFonts w:ascii="Arial" w:hAnsi="Arial" w:cs="Arial"/>
          <w:b/>
          <w:sz w:val="20"/>
          <w:szCs w:val="20"/>
        </w:rPr>
      </w:pPr>
      <w:r w:rsidRPr="0039000B">
        <w:rPr>
          <w:rFonts w:ascii="Arial" w:hAnsi="Arial" w:cs="Arial"/>
          <w:b/>
          <w:sz w:val="20"/>
          <w:szCs w:val="20"/>
        </w:rPr>
        <w:tab/>
      </w:r>
      <w:r w:rsidRPr="0039000B">
        <w:rPr>
          <w:rFonts w:ascii="Arial" w:hAnsi="Arial" w:cs="Arial"/>
          <w:b/>
          <w:sz w:val="20"/>
          <w:szCs w:val="20"/>
        </w:rPr>
        <w:tab/>
      </w:r>
    </w:p>
    <w:p w14:paraId="7F193580" w14:textId="05C8F976" w:rsidR="00047625" w:rsidRPr="0039000B" w:rsidRDefault="00DC1228" w:rsidP="00047625">
      <w:pPr>
        <w:jc w:val="both"/>
        <w:rPr>
          <w:rFonts w:ascii="Arial" w:hAnsi="Arial" w:cs="Arial"/>
          <w:b/>
          <w:sz w:val="20"/>
          <w:szCs w:val="20"/>
        </w:rPr>
      </w:pPr>
      <w:r>
        <w:rPr>
          <w:rFonts w:ascii="Arial" w:hAnsi="Arial" w:cs="Arial"/>
          <w:b/>
          <w:sz w:val="20"/>
          <w:szCs w:val="20"/>
        </w:rPr>
        <w:t>2</w:t>
      </w:r>
      <w:r w:rsidR="00047625" w:rsidRPr="0039000B">
        <w:rPr>
          <w:rFonts w:ascii="Arial" w:hAnsi="Arial" w:cs="Arial"/>
          <w:b/>
          <w:sz w:val="20"/>
          <w:szCs w:val="20"/>
        </w:rPr>
        <w:t xml:space="preserve">. </w:t>
      </w:r>
      <w:r w:rsidR="00832221">
        <w:rPr>
          <w:rFonts w:ascii="Arial" w:hAnsi="Arial" w:cs="Arial"/>
          <w:b/>
          <w:sz w:val="20"/>
          <w:szCs w:val="20"/>
        </w:rPr>
        <w:t>Describir el P</w:t>
      </w:r>
      <w:r w:rsidR="00047625" w:rsidRPr="0039000B">
        <w:rPr>
          <w:rFonts w:ascii="Arial" w:hAnsi="Arial" w:cs="Arial"/>
          <w:b/>
          <w:sz w:val="20"/>
          <w:szCs w:val="20"/>
        </w:rPr>
        <w:t>anorama Económico y Financiero: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5265FD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 las principales condiciones económico</w:t>
      </w:r>
      <w:r w:rsidRPr="0039000B">
        <w:rPr>
          <w:rFonts w:ascii="Cambria Math" w:hAnsi="Cambria Math" w:cs="Cambria Math"/>
          <w:sz w:val="20"/>
          <w:szCs w:val="20"/>
        </w:rPr>
        <w:t>‐</w:t>
      </w:r>
      <w:r w:rsidRPr="0039000B">
        <w:rPr>
          <w:rFonts w:ascii="Arial" w:hAnsi="Arial" w:cs="Arial"/>
          <w:sz w:val="20"/>
          <w:szCs w:val="20"/>
        </w:rPr>
        <w:t>financieras bajo las cuales el ente público estuvo operando; y las cuales influyeron en la toma de decisiones de la administración; tanto a nivel local como federal.</w:t>
      </w:r>
      <w:r w:rsidRPr="0039000B">
        <w:rPr>
          <w:rFonts w:ascii="Arial" w:hAnsi="Arial" w:cs="Arial"/>
          <w:sz w:val="20"/>
          <w:szCs w:val="20"/>
        </w:rPr>
        <w:tab/>
      </w:r>
    </w:p>
    <w:p w14:paraId="2C36B98E" w14:textId="0F42570E" w:rsidR="00F339C9" w:rsidRDefault="00014830" w:rsidP="00115FFC">
      <w:pPr>
        <w:jc w:val="both"/>
        <w:rPr>
          <w:rFonts w:ascii="Arial" w:hAnsi="Arial" w:cs="Arial"/>
          <w:sz w:val="20"/>
          <w:szCs w:val="20"/>
          <w:u w:val="single"/>
        </w:rPr>
      </w:pPr>
      <w:r w:rsidRPr="004A0754">
        <w:rPr>
          <w:rFonts w:ascii="Arial" w:hAnsi="Arial" w:cs="Arial"/>
          <w:sz w:val="20"/>
          <w:szCs w:val="20"/>
          <w:u w:val="single"/>
        </w:rPr>
        <w:t xml:space="preserve">En el trimestre inmediato posterior a los resultados de las elecciones se reportan los siguientes movimientos macroeconómicos: </w:t>
      </w:r>
      <w:r w:rsidR="006A296F" w:rsidRPr="004A0754">
        <w:rPr>
          <w:rFonts w:ascii="Arial" w:hAnsi="Arial" w:cs="Arial"/>
          <w:sz w:val="20"/>
          <w:szCs w:val="20"/>
          <w:u w:val="single"/>
        </w:rPr>
        <w:t>“</w:t>
      </w:r>
      <w:r w:rsidR="00BA1CAB" w:rsidRPr="004A0754">
        <w:rPr>
          <w:rFonts w:ascii="Arial" w:hAnsi="Arial" w:cs="Arial"/>
          <w:sz w:val="20"/>
          <w:szCs w:val="20"/>
          <w:u w:val="single"/>
        </w:rPr>
        <w:t>El indicador oportuno de la actividad económica (</w:t>
      </w:r>
      <w:proofErr w:type="spellStart"/>
      <w:r w:rsidR="00BA1CAB" w:rsidRPr="004A0754">
        <w:rPr>
          <w:rFonts w:ascii="Arial" w:hAnsi="Arial" w:cs="Arial"/>
          <w:sz w:val="20"/>
          <w:szCs w:val="20"/>
          <w:u w:val="single"/>
        </w:rPr>
        <w:t>Ioae</w:t>
      </w:r>
      <w:proofErr w:type="spellEnd"/>
      <w:r w:rsidR="00BA1CAB" w:rsidRPr="004A0754">
        <w:rPr>
          <w:rFonts w:ascii="Arial" w:hAnsi="Arial" w:cs="Arial"/>
          <w:sz w:val="20"/>
          <w:szCs w:val="20"/>
          <w:u w:val="single"/>
        </w:rPr>
        <w:t xml:space="preserve">) prevé que la economía mexicana reportó una contracción en septiembre, de la mano de los sectores servicios e industrial, reveló el Instituto Nacional de Estadística y Geografía </w:t>
      </w:r>
      <w:r w:rsidR="006A296F" w:rsidRPr="004A0754">
        <w:rPr>
          <w:rFonts w:ascii="Arial" w:hAnsi="Arial" w:cs="Arial"/>
          <w:sz w:val="20"/>
          <w:szCs w:val="20"/>
          <w:u w:val="single"/>
        </w:rPr>
        <w:t>(Clara Zepeda Editora de la Jornada)”</w:t>
      </w:r>
      <w:r w:rsidR="00BA1CAB" w:rsidRPr="004A0754">
        <w:rPr>
          <w:rFonts w:ascii="Arial" w:hAnsi="Arial" w:cs="Arial"/>
          <w:sz w:val="20"/>
          <w:szCs w:val="20"/>
          <w:u w:val="single"/>
        </w:rPr>
        <w:t xml:space="preserve">, </w:t>
      </w:r>
      <w:r w:rsidR="006A296F" w:rsidRPr="004A0754">
        <w:rPr>
          <w:rFonts w:ascii="Arial" w:hAnsi="Arial" w:cs="Arial"/>
          <w:sz w:val="20"/>
          <w:szCs w:val="20"/>
          <w:u w:val="single"/>
        </w:rPr>
        <w:t xml:space="preserve">por otro lado </w:t>
      </w:r>
      <w:r w:rsidR="00BD3C27" w:rsidRPr="004A0754">
        <w:rPr>
          <w:rFonts w:ascii="Arial" w:hAnsi="Arial" w:cs="Arial"/>
          <w:sz w:val="20"/>
          <w:szCs w:val="20"/>
          <w:u w:val="single"/>
        </w:rPr>
        <w:t>e</w:t>
      </w:r>
      <w:r w:rsidRPr="004A0754">
        <w:rPr>
          <w:rFonts w:ascii="Arial" w:hAnsi="Arial" w:cs="Arial"/>
          <w:sz w:val="20"/>
          <w:szCs w:val="20"/>
          <w:u w:val="single"/>
        </w:rPr>
        <w:t xml:space="preserve">n el mismo trimestre “el SAT reportó incremento del 5% en la recaudación en comparación a igual periodo del año pasado (E universal)”, a pesar de estos indicadores opuestos </w:t>
      </w:r>
      <w:r w:rsidR="005F2FD6" w:rsidRPr="004A0754">
        <w:rPr>
          <w:rFonts w:ascii="Arial" w:hAnsi="Arial" w:cs="Arial"/>
          <w:sz w:val="20"/>
          <w:szCs w:val="20"/>
          <w:u w:val="single"/>
        </w:rPr>
        <w:t>en</w:t>
      </w:r>
      <w:r w:rsidR="00BA1CAB" w:rsidRPr="004A0754">
        <w:rPr>
          <w:rFonts w:ascii="Arial" w:hAnsi="Arial" w:cs="Arial"/>
          <w:sz w:val="20"/>
          <w:szCs w:val="20"/>
          <w:u w:val="single"/>
        </w:rPr>
        <w:t xml:space="preserve"> el SABES no hemos tenido cambios económicos significativos que</w:t>
      </w:r>
      <w:r w:rsidR="005F2FD6" w:rsidRPr="004A0754">
        <w:rPr>
          <w:rFonts w:ascii="Arial" w:hAnsi="Arial" w:cs="Arial"/>
          <w:sz w:val="20"/>
          <w:szCs w:val="20"/>
          <w:u w:val="single"/>
        </w:rPr>
        <w:t xml:space="preserve"> impliquen</w:t>
      </w:r>
      <w:r w:rsidR="00BA1CAB" w:rsidRPr="004A0754">
        <w:rPr>
          <w:rFonts w:ascii="Arial" w:hAnsi="Arial" w:cs="Arial"/>
          <w:sz w:val="20"/>
          <w:szCs w:val="20"/>
          <w:u w:val="single"/>
        </w:rPr>
        <w:t xml:space="preserve"> replante</w:t>
      </w:r>
      <w:r w:rsidR="005F2FD6" w:rsidRPr="004A0754">
        <w:rPr>
          <w:rFonts w:ascii="Arial" w:hAnsi="Arial" w:cs="Arial"/>
          <w:sz w:val="20"/>
          <w:szCs w:val="20"/>
          <w:u w:val="single"/>
        </w:rPr>
        <w:t>ar</w:t>
      </w:r>
      <w:r w:rsidR="00BA1CAB" w:rsidRPr="004A0754">
        <w:rPr>
          <w:rFonts w:ascii="Arial" w:hAnsi="Arial" w:cs="Arial"/>
          <w:sz w:val="20"/>
          <w:szCs w:val="20"/>
          <w:u w:val="single"/>
        </w:rPr>
        <w:t xml:space="preserve"> las metas de</w:t>
      </w:r>
      <w:r w:rsidRPr="004A0754">
        <w:rPr>
          <w:rFonts w:ascii="Arial" w:hAnsi="Arial" w:cs="Arial"/>
          <w:sz w:val="20"/>
          <w:szCs w:val="20"/>
          <w:u w:val="single"/>
        </w:rPr>
        <w:t xml:space="preserve"> la</w:t>
      </w:r>
      <w:r w:rsidR="00BA1CAB" w:rsidRPr="004A0754">
        <w:rPr>
          <w:rFonts w:ascii="Arial" w:hAnsi="Arial" w:cs="Arial"/>
          <w:sz w:val="20"/>
          <w:szCs w:val="20"/>
          <w:u w:val="single"/>
        </w:rPr>
        <w:t xml:space="preserve"> Institución</w:t>
      </w:r>
      <w:r w:rsidRPr="004A0754">
        <w:rPr>
          <w:rFonts w:ascii="Arial" w:hAnsi="Arial" w:cs="Arial"/>
          <w:sz w:val="20"/>
          <w:szCs w:val="20"/>
          <w:u w:val="single"/>
        </w:rPr>
        <w:t>.</w:t>
      </w:r>
      <w:r w:rsidR="00B10162">
        <w:rPr>
          <w:rFonts w:ascii="Arial" w:hAnsi="Arial" w:cs="Arial"/>
          <w:sz w:val="20"/>
          <w:szCs w:val="20"/>
          <w:u w:val="single"/>
        </w:rPr>
        <w:t xml:space="preserve"> </w:t>
      </w:r>
      <w:r w:rsidR="00666C7C" w:rsidRPr="0039000B">
        <w:rPr>
          <w:rFonts w:ascii="Arial" w:hAnsi="Arial" w:cs="Arial"/>
          <w:sz w:val="20"/>
          <w:szCs w:val="20"/>
          <w:u w:val="single"/>
        </w:rPr>
        <w:t xml:space="preserve">  </w:t>
      </w:r>
      <w:r w:rsidR="009973C6" w:rsidRPr="0039000B">
        <w:rPr>
          <w:rFonts w:ascii="Arial" w:hAnsi="Arial" w:cs="Arial"/>
          <w:sz w:val="20"/>
          <w:szCs w:val="20"/>
          <w:u w:val="single"/>
        </w:rPr>
        <w:t xml:space="preserve"> </w:t>
      </w:r>
    </w:p>
    <w:p w14:paraId="27EA9687" w14:textId="77777777" w:rsidR="00DC1228" w:rsidRDefault="00DC1228" w:rsidP="00047625">
      <w:pPr>
        <w:jc w:val="both"/>
        <w:rPr>
          <w:rFonts w:ascii="Arial" w:hAnsi="Arial" w:cs="Arial"/>
          <w:b/>
          <w:sz w:val="20"/>
          <w:szCs w:val="20"/>
        </w:rPr>
      </w:pPr>
    </w:p>
    <w:p w14:paraId="16293D17" w14:textId="78A9DF5B" w:rsidR="00047625" w:rsidRPr="0039000B" w:rsidRDefault="00891CF3" w:rsidP="00047625">
      <w:pPr>
        <w:jc w:val="both"/>
        <w:rPr>
          <w:rFonts w:ascii="Arial" w:hAnsi="Arial" w:cs="Arial"/>
          <w:b/>
          <w:sz w:val="20"/>
          <w:szCs w:val="20"/>
        </w:rPr>
      </w:pPr>
      <w:r>
        <w:rPr>
          <w:rFonts w:ascii="Arial" w:hAnsi="Arial" w:cs="Arial"/>
          <w:b/>
          <w:sz w:val="20"/>
          <w:szCs w:val="20"/>
        </w:rPr>
        <w:lastRenderedPageBreak/>
        <w:t>3</w:t>
      </w:r>
      <w:r w:rsidR="00047625" w:rsidRPr="0039000B">
        <w:rPr>
          <w:rFonts w:ascii="Arial" w:hAnsi="Arial" w:cs="Arial"/>
          <w:b/>
          <w:sz w:val="20"/>
          <w:szCs w:val="20"/>
        </w:rPr>
        <w:t>. Organización y Objeto Social:</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7195C6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32FA5BA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Objeto social</w:t>
      </w:r>
    </w:p>
    <w:p w14:paraId="499A9152" w14:textId="77777777" w:rsidR="00047625" w:rsidRPr="0039000B" w:rsidRDefault="00047625" w:rsidP="00047625">
      <w:pPr>
        <w:jc w:val="both"/>
        <w:rPr>
          <w:rFonts w:ascii="Arial" w:hAnsi="Arial" w:cs="Arial"/>
          <w:sz w:val="20"/>
          <w:szCs w:val="20"/>
        </w:rPr>
      </w:pPr>
      <w:r w:rsidRPr="0039000B">
        <w:rPr>
          <w:rFonts w:ascii="Arial" w:hAnsi="Arial" w:cs="Arial"/>
          <w:sz w:val="20"/>
          <w:szCs w:val="20"/>
          <w:u w:val="single"/>
        </w:rPr>
        <w:t>Impartir educación en el nivel medio superior y superior con el apoyo de las tecnologías de la información y conjugando convenientemente el conocimiento teórico que asegure su vertiente propedéutica</w:t>
      </w:r>
      <w:r w:rsidR="003B383E" w:rsidRPr="0039000B">
        <w:rPr>
          <w:rFonts w:ascii="Arial" w:hAnsi="Arial" w:cs="Arial"/>
          <w:sz w:val="20"/>
          <w:szCs w:val="20"/>
          <w:u w:val="single"/>
        </w:rPr>
        <w:t>,</w:t>
      </w:r>
      <w:r w:rsidRPr="0039000B">
        <w:rPr>
          <w:rFonts w:ascii="Arial" w:hAnsi="Arial" w:cs="Arial"/>
          <w:sz w:val="20"/>
          <w:szCs w:val="20"/>
          <w:u w:val="single"/>
        </w:rPr>
        <w:t xml:space="preserve"> el logro de habilidades y destrezas que formen y capaciten para el trabajo.</w:t>
      </w:r>
      <w:r w:rsidRPr="0039000B">
        <w:rPr>
          <w:rFonts w:ascii="Arial" w:hAnsi="Arial" w:cs="Arial"/>
          <w:sz w:val="20"/>
          <w:szCs w:val="20"/>
        </w:rPr>
        <w:t xml:space="preserve"> </w:t>
      </w:r>
    </w:p>
    <w:p w14:paraId="49C5E27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Principal actividad</w:t>
      </w:r>
    </w:p>
    <w:p w14:paraId="478DA36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Servicios de educación a nivel medio superior y superior.</w:t>
      </w:r>
    </w:p>
    <w:p w14:paraId="1FC1AA44" w14:textId="77777777" w:rsidR="003B383E" w:rsidRPr="0039000B" w:rsidRDefault="00047625" w:rsidP="00047625">
      <w:pPr>
        <w:jc w:val="both"/>
        <w:rPr>
          <w:rFonts w:ascii="Arial" w:hAnsi="Arial" w:cs="Arial"/>
          <w:sz w:val="20"/>
          <w:szCs w:val="20"/>
        </w:rPr>
      </w:pPr>
      <w:r w:rsidRPr="0039000B">
        <w:rPr>
          <w:rFonts w:ascii="Arial" w:hAnsi="Arial" w:cs="Arial"/>
          <w:sz w:val="20"/>
          <w:szCs w:val="20"/>
        </w:rPr>
        <w:t xml:space="preserve">c) Ejercicio fiscal </w:t>
      </w:r>
    </w:p>
    <w:p w14:paraId="63ADA700" w14:textId="45435BD8" w:rsidR="00047625" w:rsidRPr="0039000B" w:rsidRDefault="00232069" w:rsidP="00047625">
      <w:pPr>
        <w:jc w:val="both"/>
        <w:rPr>
          <w:rFonts w:ascii="Arial" w:hAnsi="Arial" w:cs="Arial"/>
          <w:sz w:val="20"/>
          <w:szCs w:val="20"/>
          <w:u w:val="single"/>
        </w:rPr>
      </w:pPr>
      <w:r w:rsidRPr="0039000B">
        <w:rPr>
          <w:rFonts w:ascii="Arial" w:hAnsi="Arial" w:cs="Arial"/>
          <w:sz w:val="20"/>
          <w:szCs w:val="20"/>
          <w:u w:val="single"/>
        </w:rPr>
        <w:t xml:space="preserve">Enero a </w:t>
      </w:r>
      <w:r w:rsidR="00BB4E15" w:rsidRPr="0039000B">
        <w:rPr>
          <w:rFonts w:ascii="Arial" w:hAnsi="Arial" w:cs="Arial"/>
          <w:sz w:val="20"/>
          <w:szCs w:val="20"/>
          <w:u w:val="single"/>
        </w:rPr>
        <w:t>diciembre</w:t>
      </w:r>
      <w:r w:rsidRPr="0039000B">
        <w:rPr>
          <w:rFonts w:ascii="Arial" w:hAnsi="Arial" w:cs="Arial"/>
          <w:sz w:val="20"/>
          <w:szCs w:val="20"/>
          <w:u w:val="single"/>
        </w:rPr>
        <w:t xml:space="preserve"> de 20</w:t>
      </w:r>
      <w:r w:rsidR="0093036D" w:rsidRPr="0039000B">
        <w:rPr>
          <w:rFonts w:ascii="Arial" w:hAnsi="Arial" w:cs="Arial"/>
          <w:sz w:val="20"/>
          <w:szCs w:val="20"/>
          <w:u w:val="single"/>
        </w:rPr>
        <w:t>2</w:t>
      </w:r>
      <w:r w:rsidR="00832221">
        <w:rPr>
          <w:rFonts w:ascii="Arial" w:hAnsi="Arial" w:cs="Arial"/>
          <w:sz w:val="20"/>
          <w:szCs w:val="20"/>
          <w:u w:val="single"/>
        </w:rPr>
        <w:t>4</w:t>
      </w:r>
      <w:r w:rsidR="00047625" w:rsidRPr="0039000B">
        <w:rPr>
          <w:rFonts w:ascii="Arial" w:hAnsi="Arial" w:cs="Arial"/>
          <w:sz w:val="20"/>
          <w:szCs w:val="20"/>
          <w:u w:val="single"/>
        </w:rPr>
        <w:t>.</w:t>
      </w:r>
    </w:p>
    <w:p w14:paraId="17ECA2F7" w14:textId="77777777" w:rsidR="00047625" w:rsidRPr="0039000B" w:rsidRDefault="003B383E" w:rsidP="00047625">
      <w:pPr>
        <w:jc w:val="both"/>
        <w:rPr>
          <w:rFonts w:ascii="Arial" w:hAnsi="Arial" w:cs="Arial"/>
          <w:sz w:val="20"/>
          <w:szCs w:val="20"/>
        </w:rPr>
      </w:pPr>
      <w:r w:rsidRPr="0039000B">
        <w:rPr>
          <w:rFonts w:ascii="Arial" w:hAnsi="Arial" w:cs="Arial"/>
          <w:sz w:val="20"/>
          <w:szCs w:val="20"/>
        </w:rPr>
        <w:t>d) Régimen jurídico</w:t>
      </w:r>
    </w:p>
    <w:p w14:paraId="6C3489C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Persona moral no contribuyente.</w:t>
      </w:r>
    </w:p>
    <w:p w14:paraId="3696DC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 e) Consideraciones fiscales del ente: revelar el tipo de contribuciones que esté obligado a pagar o retener</w:t>
      </w:r>
    </w:p>
    <w:p w14:paraId="549EBD63" w14:textId="77777777" w:rsidR="00047625" w:rsidRPr="0039000B"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sueldos y salarios y trabajadores asimilados a salarios.</w:t>
      </w:r>
    </w:p>
    <w:p w14:paraId="68D4556E" w14:textId="77777777" w:rsidR="00047625" w:rsidRPr="0039000B" w:rsidRDefault="0047693E"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w:t>
      </w:r>
      <w:r w:rsidR="00047625" w:rsidRPr="0039000B">
        <w:rPr>
          <w:rFonts w:ascii="Arial" w:hAnsi="Arial" w:cs="Arial"/>
          <w:sz w:val="20"/>
          <w:szCs w:val="20"/>
          <w:u w:val="single"/>
        </w:rPr>
        <w:t>pago provisional mensual de retenciones del Impuesto Sobre la Renta (ISR) por retenciones realizadas por servicios profesionales.</w:t>
      </w:r>
    </w:p>
    <w:p w14:paraId="34DE4E54" w14:textId="51F8D17A" w:rsidR="00047625" w:rsidRDefault="00047625"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Presentar declaración y pago provisional mensual de retenciones del Impuesto Sobre la Renta (ISR) por retenciones realizadas por el pago de rentas de bienes inmuebles.</w:t>
      </w:r>
    </w:p>
    <w:p w14:paraId="51891095" w14:textId="2D5E1630" w:rsidR="00B10162" w:rsidRDefault="00B10162" w:rsidP="00047625">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 xml:space="preserve">Presentar Declaración Informativa Mensual de </w:t>
      </w:r>
      <w:r>
        <w:rPr>
          <w:rFonts w:ascii="Arial" w:hAnsi="Arial" w:cs="Arial"/>
          <w:sz w:val="20"/>
          <w:szCs w:val="20"/>
          <w:u w:val="single"/>
        </w:rPr>
        <w:t>Proveedores</w:t>
      </w:r>
    </w:p>
    <w:p w14:paraId="0D85E850" w14:textId="30618C58" w:rsidR="00B10162"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retenciones de ISR por arrendamiento de inmuebles</w:t>
      </w:r>
    </w:p>
    <w:p w14:paraId="2951E12A" w14:textId="7ADC04E7" w:rsidR="00B10162" w:rsidRPr="0039000B" w:rsidRDefault="00B10162" w:rsidP="00047625">
      <w:pPr>
        <w:numPr>
          <w:ilvl w:val="0"/>
          <w:numId w:val="2"/>
        </w:numPr>
        <w:ind w:left="426" w:hanging="66"/>
        <w:jc w:val="both"/>
        <w:rPr>
          <w:rFonts w:ascii="Arial" w:hAnsi="Arial" w:cs="Arial"/>
          <w:sz w:val="20"/>
          <w:szCs w:val="20"/>
          <w:u w:val="single"/>
        </w:rPr>
      </w:pPr>
      <w:r>
        <w:rPr>
          <w:rFonts w:ascii="Arial" w:hAnsi="Arial" w:cs="Arial"/>
          <w:sz w:val="20"/>
          <w:szCs w:val="20"/>
          <w:u w:val="single"/>
        </w:rPr>
        <w:t>Declaración Informativa Anual de pagos y retenciones de servicios profesionales. Personas Morales. Impuesto sobre la Renta</w:t>
      </w:r>
    </w:p>
    <w:p w14:paraId="4B33B0ED" w14:textId="5931A533" w:rsidR="0047693E" w:rsidRPr="00B46B8E" w:rsidRDefault="00047625" w:rsidP="00B46B8E">
      <w:pPr>
        <w:numPr>
          <w:ilvl w:val="0"/>
          <w:numId w:val="2"/>
        </w:numPr>
        <w:ind w:left="426" w:hanging="66"/>
        <w:jc w:val="both"/>
        <w:rPr>
          <w:rFonts w:ascii="Arial" w:hAnsi="Arial" w:cs="Arial"/>
          <w:sz w:val="20"/>
          <w:szCs w:val="20"/>
          <w:u w:val="single"/>
        </w:rPr>
      </w:pPr>
      <w:r w:rsidRPr="0039000B">
        <w:rPr>
          <w:rFonts w:ascii="Arial" w:hAnsi="Arial" w:cs="Arial"/>
          <w:sz w:val="20"/>
          <w:szCs w:val="20"/>
          <w:u w:val="single"/>
        </w:rPr>
        <w:t>P</w:t>
      </w:r>
      <w:r w:rsidR="00B10162">
        <w:rPr>
          <w:rFonts w:ascii="Arial" w:hAnsi="Arial" w:cs="Arial"/>
          <w:sz w:val="20"/>
          <w:szCs w:val="20"/>
          <w:u w:val="single"/>
        </w:rPr>
        <w:t xml:space="preserve">resentar declaración y pago mensual </w:t>
      </w:r>
      <w:r w:rsidRPr="0039000B">
        <w:rPr>
          <w:rFonts w:ascii="Arial" w:hAnsi="Arial" w:cs="Arial"/>
          <w:sz w:val="20"/>
          <w:szCs w:val="20"/>
          <w:u w:val="single"/>
        </w:rPr>
        <w:t>de impuestos cedulares</w:t>
      </w:r>
    </w:p>
    <w:p w14:paraId="19174D6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f) Estructura organizacional básica</w:t>
      </w:r>
    </w:p>
    <w:p w14:paraId="2E01A2C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*Anexar organigrama de la entidad.</w:t>
      </w:r>
    </w:p>
    <w:p w14:paraId="0FCE0914" w14:textId="77777777" w:rsidR="00047625" w:rsidRPr="0039000B" w:rsidRDefault="00047625" w:rsidP="00047625">
      <w:pPr>
        <w:jc w:val="both"/>
        <w:rPr>
          <w:rFonts w:ascii="Arial" w:hAnsi="Arial" w:cs="Arial"/>
          <w:sz w:val="20"/>
          <w:szCs w:val="20"/>
        </w:rPr>
      </w:pPr>
      <w:r w:rsidRPr="0039000B">
        <w:rPr>
          <w:rFonts w:ascii="Arial" w:hAnsi="Arial" w:cs="Arial"/>
          <w:noProof/>
          <w:sz w:val="20"/>
          <w:szCs w:val="20"/>
          <w:lang w:val="en-US"/>
        </w:rPr>
        <w:drawing>
          <wp:inline distT="0" distB="0" distL="0" distR="0" wp14:anchorId="787FD0AF" wp14:editId="5A75C3A2">
            <wp:extent cx="4643853" cy="35718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5887" cy="3573440"/>
                    </a:xfrm>
                    <a:prstGeom prst="rect">
                      <a:avLst/>
                    </a:prstGeom>
                    <a:noFill/>
                    <a:ln>
                      <a:noFill/>
                    </a:ln>
                  </pic:spPr>
                </pic:pic>
              </a:graphicData>
            </a:graphic>
          </wp:inline>
        </w:drawing>
      </w:r>
    </w:p>
    <w:p w14:paraId="6E3F0FD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Fideicomisos, mandatos y análogos de los cuales es fideicomitente o fiduciario.</w:t>
      </w:r>
    </w:p>
    <w:p w14:paraId="04509C0E" w14:textId="77777777" w:rsidR="00C5602C"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No aplica </w:t>
      </w:r>
    </w:p>
    <w:p w14:paraId="5D5AFFDA" w14:textId="7CE43FA0" w:rsidR="00047625" w:rsidRPr="0039000B" w:rsidRDefault="00891CF3" w:rsidP="00047625">
      <w:pPr>
        <w:jc w:val="both"/>
        <w:rPr>
          <w:rFonts w:ascii="Arial" w:hAnsi="Arial" w:cs="Arial"/>
          <w:b/>
          <w:sz w:val="20"/>
          <w:szCs w:val="20"/>
        </w:rPr>
      </w:pPr>
      <w:r>
        <w:rPr>
          <w:rFonts w:ascii="Arial" w:hAnsi="Arial" w:cs="Arial"/>
          <w:b/>
          <w:sz w:val="20"/>
          <w:szCs w:val="20"/>
        </w:rPr>
        <w:t>4</w:t>
      </w:r>
      <w:r w:rsidR="00047625" w:rsidRPr="0039000B">
        <w:rPr>
          <w:rFonts w:ascii="Arial" w:hAnsi="Arial" w:cs="Arial"/>
          <w:b/>
          <w:sz w:val="20"/>
          <w:szCs w:val="20"/>
        </w:rPr>
        <w:t>. Bases de Preparación de los Estados Financieros: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7162B7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788EECF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Si se ha observado la normatividad emitida por el CONAC y las disposiciones legales aplicables.</w:t>
      </w:r>
    </w:p>
    <w:p w14:paraId="1E26A7EA"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lastRenderedPageBreak/>
        <w:t xml:space="preserve">Las bases de preparación de Estados Financieros observan la normatividad emitida por </w:t>
      </w:r>
      <w:r w:rsidR="004520DB" w:rsidRPr="0039000B">
        <w:rPr>
          <w:rFonts w:ascii="Arial" w:hAnsi="Arial" w:cs="Arial"/>
          <w:sz w:val="20"/>
          <w:szCs w:val="20"/>
          <w:u w:val="single"/>
        </w:rPr>
        <w:t>el</w:t>
      </w:r>
      <w:r w:rsidRPr="0039000B">
        <w:rPr>
          <w:rFonts w:ascii="Arial" w:hAnsi="Arial" w:cs="Arial"/>
          <w:sz w:val="20"/>
          <w:szCs w:val="20"/>
          <w:u w:val="single"/>
        </w:rPr>
        <w:t xml:space="preserve"> CONAC y las disposiciones legales aplicables.</w:t>
      </w:r>
    </w:p>
    <w:p w14:paraId="4C04752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2102FE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 xml:space="preserve">Las bases de preparación de los Estados Financieros observan la normatividad aplicada para el reconocimiento, valuación y revelación de los diferentes rubros de la información financiera, así como las bases de medición utilizadas para la elaboración de los estados financieros; por </w:t>
      </w:r>
      <w:r w:rsidR="00B67E4F" w:rsidRPr="0039000B">
        <w:rPr>
          <w:rFonts w:ascii="Arial" w:hAnsi="Arial" w:cs="Arial"/>
          <w:sz w:val="20"/>
          <w:szCs w:val="20"/>
          <w:u w:val="single"/>
        </w:rPr>
        <w:t>ejemplo,</w:t>
      </w:r>
      <w:r w:rsidRPr="0039000B">
        <w:rPr>
          <w:rFonts w:ascii="Arial" w:hAnsi="Arial" w:cs="Arial"/>
          <w:sz w:val="20"/>
          <w:szCs w:val="20"/>
          <w:u w:val="single"/>
        </w:rPr>
        <w:t xml:space="preserve"> costo histórico, valor de realización, valor razonable, valor de recuperación o cualquier otro método y criterios de aplicación de los mismos</w:t>
      </w:r>
    </w:p>
    <w:p w14:paraId="220A1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Postulados básicos</w:t>
      </w:r>
    </w:p>
    <w:p w14:paraId="773818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Las bases de preparación de los estados financieros aplican los Postulad</w:t>
      </w:r>
      <w:r w:rsidR="003B383E" w:rsidRPr="0039000B">
        <w:rPr>
          <w:rFonts w:ascii="Arial" w:hAnsi="Arial" w:cs="Arial"/>
          <w:sz w:val="20"/>
          <w:szCs w:val="20"/>
          <w:u w:val="single"/>
        </w:rPr>
        <w:t>os Básicos de Registro Contable</w:t>
      </w:r>
      <w:r w:rsidRPr="0039000B">
        <w:rPr>
          <w:rFonts w:ascii="Arial" w:hAnsi="Arial" w:cs="Arial"/>
          <w:sz w:val="20"/>
          <w:szCs w:val="20"/>
          <w:u w:val="single"/>
        </w:rPr>
        <w:t>.</w:t>
      </w:r>
    </w:p>
    <w:p w14:paraId="3E0E26F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FFA17C4" w14:textId="611AD1E3" w:rsidR="00BE1473" w:rsidRPr="0039000B" w:rsidRDefault="00BE1473" w:rsidP="00047625">
      <w:pPr>
        <w:jc w:val="both"/>
        <w:rPr>
          <w:rFonts w:ascii="Arial" w:hAnsi="Arial" w:cs="Arial"/>
          <w:sz w:val="20"/>
          <w:szCs w:val="20"/>
          <w:u w:val="single"/>
        </w:rPr>
      </w:pPr>
      <w:r w:rsidRPr="0039000B">
        <w:rPr>
          <w:rFonts w:ascii="Arial" w:hAnsi="Arial" w:cs="Arial"/>
          <w:sz w:val="20"/>
          <w:szCs w:val="20"/>
          <w:u w:val="single"/>
        </w:rPr>
        <w:t xml:space="preserve">Al cierre del mes de </w:t>
      </w:r>
      <w:r w:rsidR="00FC2693">
        <w:rPr>
          <w:rFonts w:ascii="Arial" w:hAnsi="Arial" w:cs="Arial"/>
          <w:sz w:val="20"/>
          <w:szCs w:val="20"/>
          <w:u w:val="single"/>
        </w:rPr>
        <w:t>diciembre</w:t>
      </w:r>
      <w:r w:rsidRPr="000A0229">
        <w:rPr>
          <w:rFonts w:ascii="Arial" w:hAnsi="Arial" w:cs="Arial"/>
          <w:sz w:val="20"/>
          <w:szCs w:val="20"/>
          <w:u w:val="single"/>
        </w:rPr>
        <w:t xml:space="preserve"> no </w:t>
      </w:r>
      <w:r w:rsidR="007C11F6" w:rsidRPr="000A0229">
        <w:rPr>
          <w:rFonts w:ascii="Arial" w:hAnsi="Arial" w:cs="Arial"/>
          <w:sz w:val="20"/>
          <w:szCs w:val="20"/>
          <w:u w:val="single"/>
        </w:rPr>
        <w:t>se observa</w:t>
      </w:r>
      <w:r w:rsidRPr="000A0229">
        <w:rPr>
          <w:rFonts w:ascii="Arial" w:hAnsi="Arial" w:cs="Arial"/>
          <w:sz w:val="20"/>
          <w:szCs w:val="20"/>
          <w:u w:val="single"/>
        </w:rPr>
        <w:t xml:space="preserve"> un equilibrio presupuestal entre el ingreso y gasto a nivel "Modificado" de Recurso Propio 202</w:t>
      </w:r>
      <w:r w:rsidR="00AF17BE">
        <w:rPr>
          <w:rFonts w:ascii="Arial" w:hAnsi="Arial" w:cs="Arial"/>
          <w:sz w:val="20"/>
          <w:szCs w:val="20"/>
          <w:u w:val="single"/>
        </w:rPr>
        <w:t>4</w:t>
      </w:r>
      <w:r w:rsidRPr="000A0229">
        <w:rPr>
          <w:rFonts w:ascii="Arial" w:hAnsi="Arial" w:cs="Arial"/>
          <w:sz w:val="20"/>
          <w:szCs w:val="20"/>
          <w:u w:val="single"/>
        </w:rPr>
        <w:t xml:space="preserve">, </w:t>
      </w:r>
      <w:r w:rsidR="007C11F6" w:rsidRPr="000A0229">
        <w:rPr>
          <w:rFonts w:ascii="Arial" w:hAnsi="Arial" w:cs="Arial"/>
          <w:sz w:val="20"/>
          <w:szCs w:val="20"/>
          <w:u w:val="single"/>
        </w:rPr>
        <w:t xml:space="preserve">para </w:t>
      </w:r>
      <w:r w:rsidRPr="000A0229">
        <w:rPr>
          <w:rFonts w:ascii="Arial" w:hAnsi="Arial" w:cs="Arial"/>
          <w:sz w:val="20"/>
          <w:szCs w:val="20"/>
          <w:u w:val="single"/>
        </w:rPr>
        <w:t>cumplir con lo señalado en el artículo 4</w:t>
      </w:r>
      <w:r w:rsidR="000A0229" w:rsidRPr="000A0229">
        <w:rPr>
          <w:rFonts w:ascii="Arial" w:hAnsi="Arial" w:cs="Arial"/>
          <w:sz w:val="20"/>
          <w:szCs w:val="20"/>
          <w:u w:val="single"/>
        </w:rPr>
        <w:t>2</w:t>
      </w:r>
      <w:r w:rsidRPr="000A0229">
        <w:rPr>
          <w:rFonts w:ascii="Arial" w:hAnsi="Arial" w:cs="Arial"/>
          <w:sz w:val="20"/>
          <w:szCs w:val="20"/>
          <w:u w:val="single"/>
        </w:rPr>
        <w:t xml:space="preserve"> de los Lineamientos Generales de Racionalidad, Austeridad y Disciplina Presupuestal de la Administración Pública Estatal para el Ejercicio Fiscal del 202</w:t>
      </w:r>
      <w:r w:rsidR="00AF17BE">
        <w:rPr>
          <w:rFonts w:ascii="Arial" w:hAnsi="Arial" w:cs="Arial"/>
          <w:sz w:val="20"/>
          <w:szCs w:val="20"/>
          <w:u w:val="single"/>
        </w:rPr>
        <w:t>4</w:t>
      </w:r>
      <w:r w:rsidRPr="000A0229">
        <w:rPr>
          <w:rFonts w:ascii="Arial" w:hAnsi="Arial" w:cs="Arial"/>
          <w:sz w:val="20"/>
          <w:szCs w:val="20"/>
          <w:u w:val="single"/>
        </w:rPr>
        <w:t>, así como de la Circular 09/2022 emitida por la Dirección General de Presupuesto.</w:t>
      </w:r>
      <w:r w:rsidRPr="0039000B">
        <w:rPr>
          <w:rFonts w:ascii="Arial" w:hAnsi="Arial" w:cs="Arial"/>
          <w:sz w:val="20"/>
          <w:szCs w:val="20"/>
          <w:u w:val="single"/>
        </w:rPr>
        <w:t> </w:t>
      </w:r>
    </w:p>
    <w:p w14:paraId="786E96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 xml:space="preserve">e) Para las entidades que por primera </w:t>
      </w:r>
      <w:r w:rsidR="00BB4E15" w:rsidRPr="0039000B">
        <w:rPr>
          <w:rFonts w:ascii="Arial" w:hAnsi="Arial" w:cs="Arial"/>
          <w:sz w:val="20"/>
          <w:szCs w:val="20"/>
        </w:rPr>
        <w:t>vez estén implementando la base</w:t>
      </w:r>
      <w:r w:rsidR="0047693E" w:rsidRPr="0039000B">
        <w:rPr>
          <w:rFonts w:ascii="Arial" w:hAnsi="Arial" w:cs="Arial"/>
          <w:sz w:val="20"/>
          <w:szCs w:val="20"/>
        </w:rPr>
        <w:t xml:space="preserve"> </w:t>
      </w:r>
      <w:r w:rsidR="004520DB" w:rsidRPr="0039000B">
        <w:rPr>
          <w:rFonts w:ascii="Arial" w:hAnsi="Arial" w:cs="Arial"/>
          <w:sz w:val="20"/>
          <w:szCs w:val="20"/>
        </w:rPr>
        <w:t xml:space="preserve">del </w:t>
      </w:r>
      <w:r w:rsidRPr="0039000B">
        <w:rPr>
          <w:rFonts w:ascii="Arial" w:hAnsi="Arial" w:cs="Arial"/>
          <w:sz w:val="20"/>
          <w:szCs w:val="20"/>
        </w:rPr>
        <w:t>devengado de acuerdo a la Ley de Contabilidad, deberán:</w:t>
      </w:r>
    </w:p>
    <w:p w14:paraId="45A256A0" w14:textId="77777777" w:rsidR="00C5602C"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las nuevas políticas de reconocimiento:</w:t>
      </w:r>
    </w:p>
    <w:p w14:paraId="7FE20A51"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DB2CF99"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Plan de implementación:</w:t>
      </w:r>
    </w:p>
    <w:p w14:paraId="6FD2D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98ADD" w14:textId="77777777" w:rsidR="00047625" w:rsidRPr="0039000B" w:rsidRDefault="00047625" w:rsidP="00047625">
      <w:pPr>
        <w:jc w:val="both"/>
        <w:rPr>
          <w:rFonts w:ascii="Arial" w:hAnsi="Arial" w:cs="Arial"/>
          <w:sz w:val="20"/>
          <w:szCs w:val="20"/>
        </w:rPr>
      </w:pPr>
      <w:r w:rsidRPr="0039000B">
        <w:rPr>
          <w:rFonts w:ascii="Cambria Math" w:hAnsi="Cambria Math" w:cs="Cambria Math"/>
          <w:sz w:val="20"/>
          <w:szCs w:val="20"/>
        </w:rPr>
        <w:t>‐</w:t>
      </w:r>
      <w:r w:rsidRPr="0039000B">
        <w:rPr>
          <w:rFonts w:ascii="Arial" w:hAnsi="Arial" w:cs="Arial"/>
          <w:sz w:val="20"/>
          <w:szCs w:val="20"/>
        </w:rPr>
        <w:t>Revelar los cambios en las políticas, la clasificación y medición de las mismas, así como su impacto en la información financiera:</w:t>
      </w:r>
    </w:p>
    <w:p w14:paraId="5B0111F5"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F0D914F" w14:textId="77777777" w:rsidR="00DC1228" w:rsidRDefault="00DC1228" w:rsidP="00047625">
      <w:pPr>
        <w:jc w:val="both"/>
        <w:rPr>
          <w:rFonts w:ascii="Arial" w:hAnsi="Arial" w:cs="Arial"/>
          <w:b/>
          <w:sz w:val="20"/>
          <w:szCs w:val="20"/>
        </w:rPr>
      </w:pPr>
    </w:p>
    <w:p w14:paraId="531ABD64" w14:textId="6D9D853E" w:rsidR="00047625" w:rsidRPr="0039000B" w:rsidRDefault="00891CF3" w:rsidP="00047625">
      <w:pPr>
        <w:jc w:val="both"/>
        <w:rPr>
          <w:rFonts w:ascii="Arial" w:hAnsi="Arial" w:cs="Arial"/>
          <w:b/>
          <w:sz w:val="20"/>
          <w:szCs w:val="20"/>
        </w:rPr>
      </w:pPr>
      <w:r>
        <w:rPr>
          <w:rFonts w:ascii="Arial" w:hAnsi="Arial" w:cs="Arial"/>
          <w:b/>
          <w:sz w:val="20"/>
          <w:szCs w:val="20"/>
        </w:rPr>
        <w:lastRenderedPageBreak/>
        <w:t>5</w:t>
      </w:r>
      <w:r w:rsidR="00047625" w:rsidRPr="0039000B">
        <w:rPr>
          <w:rFonts w:ascii="Arial" w:hAnsi="Arial" w:cs="Arial"/>
          <w:b/>
          <w:sz w:val="20"/>
          <w:szCs w:val="20"/>
        </w:rPr>
        <w:t>. Políticas de Contabilidad Significativas: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3E099E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1A7D982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w:t>
      </w:r>
    </w:p>
    <w:p w14:paraId="5F41CF9A" w14:textId="77777777" w:rsidR="00047625" w:rsidRPr="0039000B" w:rsidRDefault="004520DB" w:rsidP="00047625">
      <w:pPr>
        <w:jc w:val="both"/>
        <w:rPr>
          <w:rFonts w:ascii="Arial" w:hAnsi="Arial" w:cs="Arial"/>
          <w:sz w:val="20"/>
          <w:szCs w:val="20"/>
          <w:u w:val="single"/>
        </w:rPr>
      </w:pPr>
      <w:r w:rsidRPr="0039000B">
        <w:rPr>
          <w:rFonts w:ascii="Arial" w:hAnsi="Arial" w:cs="Arial"/>
          <w:sz w:val="20"/>
          <w:szCs w:val="20"/>
          <w:u w:val="single"/>
        </w:rPr>
        <w:t>En los inmuebles</w:t>
      </w:r>
      <w:r w:rsidR="00C9246D" w:rsidRPr="0039000B">
        <w:rPr>
          <w:rFonts w:ascii="Arial" w:hAnsi="Arial" w:cs="Arial"/>
          <w:sz w:val="20"/>
          <w:szCs w:val="20"/>
          <w:u w:val="single"/>
        </w:rPr>
        <w:t xml:space="preserve"> se utiliza el avalúo catastral de conformidad con la Ley de Contabilidad Gubernamental</w:t>
      </w:r>
      <w:r w:rsidR="00464F01" w:rsidRPr="0039000B">
        <w:rPr>
          <w:rFonts w:ascii="Arial" w:hAnsi="Arial" w:cs="Arial"/>
          <w:sz w:val="20"/>
          <w:szCs w:val="20"/>
          <w:u w:val="single"/>
        </w:rPr>
        <w:t xml:space="preserve"> para actualizar el valor del inmueble</w:t>
      </w:r>
      <w:r w:rsidR="0003390B">
        <w:rPr>
          <w:rFonts w:ascii="Arial" w:hAnsi="Arial" w:cs="Arial"/>
          <w:sz w:val="20"/>
          <w:szCs w:val="20"/>
          <w:u w:val="single"/>
        </w:rPr>
        <w:t>, en activos fijos el valor de adquisición o en su caso para los bienes donados el valor de mercado</w:t>
      </w:r>
      <w:r w:rsidR="00464F01" w:rsidRPr="0039000B">
        <w:rPr>
          <w:rFonts w:ascii="Arial" w:hAnsi="Arial" w:cs="Arial"/>
          <w:sz w:val="20"/>
          <w:szCs w:val="20"/>
          <w:u w:val="single"/>
        </w:rPr>
        <w:t>.</w:t>
      </w:r>
    </w:p>
    <w:p w14:paraId="7AC627D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Informar sobre la realización de operaciones en el extranjero y de sus efectos en la información financiera gubernamental:</w:t>
      </w:r>
    </w:p>
    <w:p w14:paraId="1EF2C48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26A91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Método de valuación de la inversión en acciones de Compañías subsidiarias no consolidadas y asociadas:</w:t>
      </w:r>
    </w:p>
    <w:p w14:paraId="2D595A9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7F5067B"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rPr>
        <w:t>d) Sistema y método de valuación de inventarios y costo de lo vendido:</w:t>
      </w:r>
      <w:r w:rsidR="00DB29F3" w:rsidRPr="0039000B">
        <w:rPr>
          <w:rFonts w:ascii="Arial" w:hAnsi="Arial" w:cs="Arial"/>
          <w:sz w:val="20"/>
          <w:szCs w:val="20"/>
        </w:rPr>
        <w:t xml:space="preserve"> </w:t>
      </w:r>
      <w:r w:rsidRPr="0039000B">
        <w:rPr>
          <w:rFonts w:ascii="Arial" w:hAnsi="Arial" w:cs="Arial"/>
          <w:sz w:val="20"/>
          <w:szCs w:val="20"/>
          <w:u w:val="single"/>
        </w:rPr>
        <w:t>No aplica.</w:t>
      </w:r>
    </w:p>
    <w:p w14:paraId="6E067C4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Beneficios a empleados: revelar el cálculo de la reserva actuarial, valor presente de los ingresos esperados comparado con el valor presente de la estimación de gastos tanto de los beneficiarios actuales como futuros:</w:t>
      </w:r>
    </w:p>
    <w:p w14:paraId="09DB1A66" w14:textId="682EF925" w:rsidR="00047625" w:rsidRPr="0039000B" w:rsidRDefault="005E3AF2" w:rsidP="00047625">
      <w:pPr>
        <w:jc w:val="both"/>
        <w:rPr>
          <w:rFonts w:ascii="Arial" w:hAnsi="Arial" w:cs="Arial"/>
          <w:sz w:val="20"/>
          <w:szCs w:val="20"/>
          <w:u w:val="single"/>
        </w:rPr>
      </w:pPr>
      <w:r>
        <w:rPr>
          <w:rFonts w:ascii="Arial" w:hAnsi="Arial" w:cs="Arial"/>
          <w:sz w:val="20"/>
          <w:szCs w:val="20"/>
          <w:u w:val="single"/>
        </w:rPr>
        <w:t>El importe determinado en el estudio actuarial fue de $310,644,737.00 sin embargo no se reconoció porque no se cuenta con los fondos para hacer la reserva financiera.</w:t>
      </w:r>
    </w:p>
    <w:p w14:paraId="359063B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Provisiones</w:t>
      </w:r>
      <w:r w:rsidR="00972973" w:rsidRPr="0039000B">
        <w:rPr>
          <w:rFonts w:ascii="Arial" w:hAnsi="Arial" w:cs="Arial"/>
          <w:sz w:val="20"/>
          <w:szCs w:val="20"/>
        </w:rPr>
        <w:t xml:space="preserve"> a corto plazo</w:t>
      </w:r>
      <w:r w:rsidRPr="0039000B">
        <w:rPr>
          <w:rFonts w:ascii="Arial" w:hAnsi="Arial" w:cs="Arial"/>
          <w:sz w:val="20"/>
          <w:szCs w:val="20"/>
        </w:rPr>
        <w:t>: objetivo de su creación, monto y plazo:</w:t>
      </w:r>
    </w:p>
    <w:p w14:paraId="24DA1DB6" w14:textId="3F4F6025" w:rsidR="00416954" w:rsidRDefault="00731F1B" w:rsidP="0039211C">
      <w:pPr>
        <w:jc w:val="both"/>
        <w:rPr>
          <w:rFonts w:ascii="Arial" w:hAnsi="Arial" w:cs="Arial"/>
          <w:sz w:val="20"/>
          <w:szCs w:val="20"/>
          <w:u w:val="single"/>
        </w:rPr>
      </w:pPr>
      <w:r>
        <w:rPr>
          <w:rFonts w:ascii="Arial" w:hAnsi="Arial" w:cs="Arial"/>
          <w:sz w:val="20"/>
          <w:szCs w:val="20"/>
          <w:u w:val="single"/>
        </w:rPr>
        <w:t>No se cuentan con provisiones</w:t>
      </w:r>
    </w:p>
    <w:p w14:paraId="053F853E" w14:textId="77777777" w:rsidR="00416954" w:rsidRDefault="00416954" w:rsidP="0039211C">
      <w:pPr>
        <w:jc w:val="both"/>
        <w:rPr>
          <w:rFonts w:ascii="Arial" w:hAnsi="Arial" w:cs="Arial"/>
          <w:sz w:val="20"/>
          <w:szCs w:val="20"/>
          <w:u w:val="single"/>
        </w:rPr>
      </w:pPr>
    </w:p>
    <w:p w14:paraId="1240FE7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Reservas: objetivo de su creación, monto y plazo:</w:t>
      </w:r>
    </w:p>
    <w:p w14:paraId="626EF046" w14:textId="77777777" w:rsidR="00047625"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Objeto de su creación: Formar un fondo de reserva para hacer frente a contingencias del Organismo</w:t>
      </w:r>
    </w:p>
    <w:p w14:paraId="55048D7D" w14:textId="4A6D4D09" w:rsidR="00EB5828" w:rsidRPr="0039000B" w:rsidRDefault="00835285" w:rsidP="00047625">
      <w:pPr>
        <w:jc w:val="both"/>
        <w:rPr>
          <w:rFonts w:ascii="Arial" w:hAnsi="Arial" w:cs="Arial"/>
          <w:sz w:val="20"/>
          <w:szCs w:val="20"/>
          <w:u w:val="single"/>
          <w:lang w:val="es-ES"/>
        </w:rPr>
      </w:pPr>
      <w:r w:rsidRPr="0039000B">
        <w:rPr>
          <w:rFonts w:ascii="Arial" w:hAnsi="Arial" w:cs="Arial"/>
          <w:sz w:val="20"/>
          <w:szCs w:val="20"/>
          <w:u w:val="single"/>
          <w:lang w:val="es-ES"/>
        </w:rPr>
        <w:t>Monto para el Ejercicio 202</w:t>
      </w:r>
      <w:r w:rsidR="003772F3">
        <w:rPr>
          <w:rFonts w:ascii="Arial" w:hAnsi="Arial" w:cs="Arial"/>
          <w:sz w:val="20"/>
          <w:szCs w:val="20"/>
          <w:u w:val="single"/>
          <w:lang w:val="es-ES"/>
        </w:rPr>
        <w:t>4</w:t>
      </w:r>
      <w:r w:rsidR="000E1ED0" w:rsidRPr="0039000B">
        <w:rPr>
          <w:rFonts w:ascii="Arial" w:hAnsi="Arial" w:cs="Arial"/>
          <w:sz w:val="20"/>
          <w:szCs w:val="20"/>
          <w:u w:val="single"/>
          <w:lang w:val="es-ES"/>
        </w:rPr>
        <w:t>:</w:t>
      </w:r>
      <w:r w:rsidR="00047625" w:rsidRPr="0039000B">
        <w:rPr>
          <w:rFonts w:ascii="Arial" w:hAnsi="Arial" w:cs="Arial"/>
          <w:sz w:val="20"/>
          <w:szCs w:val="20"/>
          <w:u w:val="single"/>
          <w:lang w:val="es-ES"/>
        </w:rPr>
        <w:t xml:space="preserve"> $</w:t>
      </w:r>
      <w:r w:rsidR="003772F3">
        <w:rPr>
          <w:rFonts w:ascii="Arial" w:hAnsi="Arial" w:cs="Arial"/>
          <w:sz w:val="20"/>
          <w:szCs w:val="20"/>
          <w:u w:val="single"/>
          <w:lang w:val="es-ES"/>
        </w:rPr>
        <w:t>98,445,550.61</w:t>
      </w:r>
    </w:p>
    <w:p w14:paraId="5565E157" w14:textId="5BC15AEC" w:rsidR="00FB0AF6" w:rsidRPr="0039000B" w:rsidRDefault="00047625" w:rsidP="00047625">
      <w:pPr>
        <w:jc w:val="both"/>
        <w:rPr>
          <w:rFonts w:ascii="Arial" w:hAnsi="Arial" w:cs="Arial"/>
          <w:sz w:val="20"/>
          <w:szCs w:val="20"/>
          <w:u w:val="single"/>
          <w:lang w:val="es-ES"/>
        </w:rPr>
      </w:pPr>
      <w:r w:rsidRPr="0039000B">
        <w:rPr>
          <w:rFonts w:ascii="Arial" w:hAnsi="Arial" w:cs="Arial"/>
          <w:sz w:val="20"/>
          <w:szCs w:val="20"/>
          <w:u w:val="single"/>
          <w:lang w:val="es-ES"/>
        </w:rPr>
        <w:t>Plazo: En el momento que se den los supuestos</w:t>
      </w:r>
      <w:r w:rsidR="00FB0AF6">
        <w:rPr>
          <w:rFonts w:ascii="Arial" w:hAnsi="Arial" w:cs="Arial"/>
          <w:sz w:val="20"/>
          <w:szCs w:val="20"/>
          <w:u w:val="single"/>
          <w:lang w:val="es-ES"/>
        </w:rPr>
        <w:t xml:space="preserve">     </w:t>
      </w:r>
    </w:p>
    <w:p w14:paraId="749007F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h) Cambios en políticas contables y corrección de errores junto con la revelación de los efectos que se tendrá en la información financiera del ente público, ya sea retrospectivos o prospectivos:</w:t>
      </w:r>
    </w:p>
    <w:p w14:paraId="548EC8C7" w14:textId="77777777" w:rsidR="00047625" w:rsidRPr="0039000B" w:rsidRDefault="00277435" w:rsidP="00047625">
      <w:pPr>
        <w:jc w:val="both"/>
        <w:rPr>
          <w:rFonts w:ascii="Arial" w:hAnsi="Arial" w:cs="Arial"/>
          <w:sz w:val="20"/>
          <w:szCs w:val="20"/>
        </w:rPr>
      </w:pPr>
      <w:r>
        <w:rPr>
          <w:rFonts w:ascii="Arial" w:hAnsi="Arial" w:cs="Arial"/>
          <w:sz w:val="20"/>
          <w:szCs w:val="20"/>
        </w:rPr>
        <w:t>i) D</w:t>
      </w:r>
      <w:r w:rsidR="00047625" w:rsidRPr="0039000B">
        <w:rPr>
          <w:rFonts w:ascii="Arial" w:hAnsi="Arial" w:cs="Arial"/>
          <w:sz w:val="20"/>
          <w:szCs w:val="20"/>
        </w:rPr>
        <w:t>e operaciones:</w:t>
      </w:r>
    </w:p>
    <w:p w14:paraId="04B954B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4F46CFD" w14:textId="4FC292D7" w:rsidR="00047625" w:rsidRDefault="00047625" w:rsidP="00047625">
      <w:pPr>
        <w:jc w:val="both"/>
        <w:rPr>
          <w:rFonts w:ascii="Arial" w:hAnsi="Arial" w:cs="Arial"/>
          <w:sz w:val="20"/>
          <w:szCs w:val="20"/>
        </w:rPr>
      </w:pPr>
      <w:r w:rsidRPr="0039000B">
        <w:rPr>
          <w:rFonts w:ascii="Arial" w:hAnsi="Arial" w:cs="Arial"/>
          <w:sz w:val="20"/>
          <w:szCs w:val="20"/>
        </w:rPr>
        <w:t>j) Depuración y cancelación de saldos:</w:t>
      </w:r>
    </w:p>
    <w:p w14:paraId="6059D0ED" w14:textId="3235B245" w:rsidR="0011643F" w:rsidRPr="0039000B" w:rsidRDefault="0011643F" w:rsidP="0011643F">
      <w:pPr>
        <w:jc w:val="both"/>
        <w:rPr>
          <w:rFonts w:ascii="Arial" w:hAnsi="Arial" w:cs="Arial"/>
          <w:sz w:val="20"/>
          <w:szCs w:val="20"/>
          <w:u w:val="single"/>
          <w:lang w:val="es-ES"/>
        </w:rPr>
      </w:pPr>
      <w:r w:rsidRPr="0039000B">
        <w:rPr>
          <w:rFonts w:ascii="Arial" w:hAnsi="Arial" w:cs="Arial"/>
          <w:sz w:val="20"/>
          <w:szCs w:val="20"/>
          <w:u w:val="single"/>
          <w:lang w:val="es-ES"/>
        </w:rPr>
        <w:t>Objeto de su creación:</w:t>
      </w:r>
      <w:r>
        <w:rPr>
          <w:rFonts w:ascii="Arial" w:hAnsi="Arial" w:cs="Arial"/>
          <w:sz w:val="20"/>
          <w:szCs w:val="20"/>
          <w:u w:val="single"/>
          <w:lang w:val="es-ES"/>
        </w:rPr>
        <w:t xml:space="preserve"> fondo</w:t>
      </w:r>
      <w:r w:rsidRPr="0039000B">
        <w:rPr>
          <w:rFonts w:ascii="Arial" w:hAnsi="Arial" w:cs="Arial"/>
          <w:sz w:val="20"/>
          <w:szCs w:val="20"/>
          <w:u w:val="single"/>
          <w:lang w:val="es-ES"/>
        </w:rPr>
        <w:t xml:space="preserve"> de reserva para hacer frente a </w:t>
      </w:r>
      <w:r>
        <w:rPr>
          <w:rFonts w:ascii="Arial" w:hAnsi="Arial" w:cs="Arial"/>
          <w:sz w:val="20"/>
          <w:szCs w:val="20"/>
          <w:u w:val="single"/>
          <w:lang w:val="es-ES"/>
        </w:rPr>
        <w:t>las cuentas incobrables</w:t>
      </w:r>
    </w:p>
    <w:p w14:paraId="7EC02231" w14:textId="57182E8E" w:rsidR="00D14769" w:rsidRDefault="00731F1B" w:rsidP="00D14769">
      <w:pPr>
        <w:jc w:val="both"/>
        <w:rPr>
          <w:rFonts w:ascii="Arial" w:hAnsi="Arial" w:cs="Arial"/>
          <w:sz w:val="20"/>
          <w:szCs w:val="20"/>
          <w:u w:val="single"/>
          <w:lang w:val="es-ES"/>
        </w:rPr>
      </w:pPr>
      <w:r w:rsidRPr="00731F1B">
        <w:rPr>
          <w:rFonts w:ascii="Arial" w:hAnsi="Arial" w:cs="Arial"/>
          <w:sz w:val="20"/>
          <w:szCs w:val="20"/>
          <w:u w:val="single"/>
          <w:lang w:val="es-ES"/>
        </w:rPr>
        <w:t xml:space="preserve">Se </w:t>
      </w:r>
      <w:r w:rsidR="005E3AF2">
        <w:rPr>
          <w:rFonts w:ascii="Arial" w:hAnsi="Arial" w:cs="Arial"/>
          <w:sz w:val="20"/>
          <w:szCs w:val="20"/>
          <w:u w:val="single"/>
          <w:lang w:val="es-ES"/>
        </w:rPr>
        <w:t xml:space="preserve">autorizó </w:t>
      </w:r>
      <w:r w:rsidR="00C84EBB">
        <w:rPr>
          <w:rFonts w:ascii="Arial" w:hAnsi="Arial" w:cs="Arial"/>
          <w:sz w:val="20"/>
          <w:szCs w:val="20"/>
          <w:u w:val="single"/>
          <w:lang w:val="es-ES"/>
        </w:rPr>
        <w:t>una cancelación</w:t>
      </w:r>
      <w:r w:rsidR="005E3AF2">
        <w:rPr>
          <w:rFonts w:ascii="Arial" w:hAnsi="Arial" w:cs="Arial"/>
          <w:sz w:val="20"/>
          <w:szCs w:val="20"/>
          <w:u w:val="single"/>
          <w:lang w:val="es-ES"/>
        </w:rPr>
        <w:t xml:space="preserve"> por cuentas incobrables de $</w:t>
      </w:r>
      <w:r w:rsidR="00C84EBB">
        <w:rPr>
          <w:rFonts w:ascii="Arial" w:hAnsi="Arial" w:cs="Arial"/>
          <w:sz w:val="20"/>
          <w:szCs w:val="20"/>
          <w:u w:val="single"/>
          <w:lang w:val="es-ES"/>
        </w:rPr>
        <w:t xml:space="preserve">15,520.16 por lo que se canceló la </w:t>
      </w:r>
      <w:r w:rsidR="005E3AF2">
        <w:rPr>
          <w:rFonts w:ascii="Arial" w:hAnsi="Arial" w:cs="Arial"/>
          <w:sz w:val="20"/>
          <w:szCs w:val="20"/>
          <w:u w:val="single"/>
          <w:lang w:val="es-ES"/>
        </w:rPr>
        <w:t xml:space="preserve">diferencia de la estimación </w:t>
      </w:r>
    </w:p>
    <w:p w14:paraId="4029C0A8" w14:textId="5616E0F8" w:rsidR="0011643F" w:rsidRPr="00822BA5" w:rsidRDefault="0011643F" w:rsidP="00D14769">
      <w:pPr>
        <w:jc w:val="both"/>
        <w:rPr>
          <w:rFonts w:ascii="Arial" w:hAnsi="Arial" w:cs="Arial"/>
          <w:sz w:val="20"/>
          <w:szCs w:val="20"/>
          <w:u w:val="single"/>
          <w:lang w:val="es-ES"/>
        </w:rPr>
      </w:pPr>
      <w:r>
        <w:rPr>
          <w:rFonts w:ascii="Arial" w:hAnsi="Arial" w:cs="Arial"/>
          <w:sz w:val="20"/>
          <w:szCs w:val="20"/>
          <w:u w:val="single"/>
          <w:lang w:val="es-ES"/>
        </w:rPr>
        <w:t>Plazo: un año fiscal</w:t>
      </w:r>
    </w:p>
    <w:p w14:paraId="41EEF1E3" w14:textId="16FCC094" w:rsidR="00047625" w:rsidRPr="0039000B" w:rsidRDefault="00891CF3" w:rsidP="00047625">
      <w:pPr>
        <w:jc w:val="both"/>
        <w:rPr>
          <w:rFonts w:ascii="Arial" w:hAnsi="Arial" w:cs="Arial"/>
          <w:b/>
          <w:sz w:val="20"/>
          <w:szCs w:val="20"/>
        </w:rPr>
      </w:pPr>
      <w:r>
        <w:rPr>
          <w:rFonts w:ascii="Arial" w:hAnsi="Arial" w:cs="Arial"/>
          <w:b/>
          <w:sz w:val="20"/>
          <w:szCs w:val="20"/>
        </w:rPr>
        <w:t>6</w:t>
      </w:r>
      <w:r w:rsidR="00047625" w:rsidRPr="0039000B">
        <w:rPr>
          <w:rFonts w:ascii="Arial" w:hAnsi="Arial" w:cs="Arial"/>
          <w:b/>
          <w:sz w:val="20"/>
          <w:szCs w:val="20"/>
        </w:rPr>
        <w:t>. Posición en Moneda Extranjera y Protección por Riesgo Cambiario: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06C2676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sobre:</w:t>
      </w:r>
    </w:p>
    <w:p w14:paraId="6B05E7B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Activos en moneda extranjera:</w:t>
      </w:r>
    </w:p>
    <w:p w14:paraId="5C97E0CD"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997F9A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Pasivos en moneda extranjera:</w:t>
      </w:r>
    </w:p>
    <w:p w14:paraId="66516C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CAB66F8"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Posición en moneda extranjera:</w:t>
      </w:r>
    </w:p>
    <w:p w14:paraId="369A2B0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5371C42C"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Tipo de cambio:</w:t>
      </w:r>
    </w:p>
    <w:p w14:paraId="4E7FA5E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20C413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Equivalente en moneda nacional:</w:t>
      </w:r>
    </w:p>
    <w:p w14:paraId="7B2DF06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C6DA0E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Lo anterior por cada tipo de moneda extranjera que se encuentre en los rubros de activo y pasivo.</w:t>
      </w:r>
    </w:p>
    <w:p w14:paraId="04C36C68" w14:textId="77777777" w:rsidR="00A37CA6" w:rsidRPr="0039000B" w:rsidRDefault="00047625" w:rsidP="00047625">
      <w:pPr>
        <w:jc w:val="both"/>
        <w:rPr>
          <w:rFonts w:ascii="Arial" w:hAnsi="Arial" w:cs="Arial"/>
          <w:sz w:val="20"/>
          <w:szCs w:val="20"/>
        </w:rPr>
      </w:pPr>
      <w:r w:rsidRPr="0039000B">
        <w:rPr>
          <w:rFonts w:ascii="Arial" w:hAnsi="Arial" w:cs="Arial"/>
          <w:sz w:val="20"/>
          <w:szCs w:val="20"/>
        </w:rPr>
        <w:t>Adicionalmente se informará sobre los métodos de protección de riesgo por variaciones en el tipo de cambio.</w:t>
      </w:r>
      <w:r w:rsidRPr="0039000B">
        <w:rPr>
          <w:rFonts w:ascii="Arial" w:hAnsi="Arial" w:cs="Arial"/>
          <w:sz w:val="20"/>
          <w:szCs w:val="20"/>
        </w:rPr>
        <w:tab/>
      </w:r>
    </w:p>
    <w:p w14:paraId="5822901F" w14:textId="092CDDC8" w:rsidR="00047625" w:rsidRPr="0039000B" w:rsidRDefault="00891CF3" w:rsidP="00047625">
      <w:pPr>
        <w:jc w:val="both"/>
        <w:rPr>
          <w:rFonts w:ascii="Arial" w:hAnsi="Arial" w:cs="Arial"/>
          <w:b/>
          <w:sz w:val="20"/>
          <w:szCs w:val="20"/>
        </w:rPr>
      </w:pPr>
      <w:r>
        <w:rPr>
          <w:rFonts w:ascii="Arial" w:hAnsi="Arial" w:cs="Arial"/>
          <w:b/>
          <w:sz w:val="20"/>
          <w:szCs w:val="20"/>
        </w:rPr>
        <w:t>7</w:t>
      </w:r>
      <w:r w:rsidR="00047625" w:rsidRPr="0039000B">
        <w:rPr>
          <w:rFonts w:ascii="Arial" w:hAnsi="Arial" w:cs="Arial"/>
          <w:b/>
          <w:sz w:val="20"/>
          <w:szCs w:val="20"/>
        </w:rPr>
        <w:t>. Reporte Analítico del Activo:</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40FFD3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Debe mostrar la siguiente información:</w:t>
      </w:r>
      <w:r w:rsidRPr="0039000B">
        <w:rPr>
          <w:rFonts w:ascii="Arial" w:hAnsi="Arial" w:cs="Arial"/>
          <w:sz w:val="20"/>
          <w:szCs w:val="20"/>
        </w:rPr>
        <w:tab/>
      </w:r>
    </w:p>
    <w:p w14:paraId="5294D34A" w14:textId="524004DA" w:rsidR="00047625" w:rsidRDefault="00047625" w:rsidP="00047625">
      <w:pPr>
        <w:jc w:val="both"/>
        <w:rPr>
          <w:rFonts w:ascii="Arial" w:hAnsi="Arial" w:cs="Arial"/>
          <w:sz w:val="20"/>
          <w:szCs w:val="20"/>
        </w:rPr>
      </w:pPr>
      <w:r w:rsidRPr="0039000B">
        <w:rPr>
          <w:rFonts w:ascii="Arial" w:hAnsi="Arial" w:cs="Arial"/>
          <w:sz w:val="20"/>
          <w:szCs w:val="20"/>
        </w:rPr>
        <w:t>Vida útil o porcentajes de depreciación, deterioro o amortización utilizados en los diferentes tipos de activos</w:t>
      </w:r>
    </w:p>
    <w:p w14:paraId="5F8FF0A9" w14:textId="4B33FFE1" w:rsidR="007278A7" w:rsidRDefault="007278A7" w:rsidP="00047625">
      <w:pPr>
        <w:jc w:val="both"/>
        <w:rPr>
          <w:rFonts w:ascii="Arial" w:hAnsi="Arial" w:cs="Arial"/>
          <w:sz w:val="20"/>
          <w:szCs w:val="20"/>
        </w:rPr>
      </w:pPr>
      <w:r w:rsidRPr="007278A7">
        <w:rPr>
          <w:noProof/>
        </w:rPr>
        <w:drawing>
          <wp:inline distT="0" distB="0" distL="0" distR="0" wp14:anchorId="309C5870" wp14:editId="0473974F">
            <wp:extent cx="3679851" cy="30680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521" cy="3075302"/>
                    </a:xfrm>
                    <a:prstGeom prst="rect">
                      <a:avLst/>
                    </a:prstGeom>
                    <a:noFill/>
                    <a:ln>
                      <a:noFill/>
                    </a:ln>
                  </pic:spPr>
                </pic:pic>
              </a:graphicData>
            </a:graphic>
          </wp:inline>
        </w:drawing>
      </w:r>
    </w:p>
    <w:p w14:paraId="25F5B08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Cambios en el porcentaje de depreciación o valor residual de los activos:</w:t>
      </w:r>
    </w:p>
    <w:p w14:paraId="5D828216"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2C56BA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Importe de los gastos capitalizados en el ejercicio, tanto financieros como de investigación y desarrollo:</w:t>
      </w:r>
    </w:p>
    <w:p w14:paraId="1AC06B9F" w14:textId="77777777" w:rsidR="00047625" w:rsidRPr="0039000B" w:rsidRDefault="00133252" w:rsidP="00047625">
      <w:pPr>
        <w:jc w:val="both"/>
        <w:rPr>
          <w:rFonts w:ascii="Arial" w:hAnsi="Arial" w:cs="Arial"/>
          <w:sz w:val="20"/>
          <w:szCs w:val="20"/>
        </w:rPr>
      </w:pPr>
      <w:r w:rsidRPr="0039000B">
        <w:rPr>
          <w:rFonts w:ascii="Arial" w:hAnsi="Arial" w:cs="Arial"/>
          <w:sz w:val="20"/>
          <w:szCs w:val="20"/>
        </w:rPr>
        <w:t>No aplica</w:t>
      </w:r>
    </w:p>
    <w:p w14:paraId="62ED66D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d) Rie</w:t>
      </w:r>
      <w:r w:rsidR="003A39C0" w:rsidRPr="0039000B">
        <w:rPr>
          <w:rFonts w:ascii="Arial" w:hAnsi="Arial" w:cs="Arial"/>
          <w:sz w:val="20"/>
          <w:szCs w:val="20"/>
        </w:rPr>
        <w:t>s</w:t>
      </w:r>
      <w:r w:rsidRPr="0039000B">
        <w:rPr>
          <w:rFonts w:ascii="Arial" w:hAnsi="Arial" w:cs="Arial"/>
          <w:sz w:val="20"/>
          <w:szCs w:val="20"/>
        </w:rPr>
        <w:t>gos por tipo de cambio o tipo de interés de las inversiones financieras:</w:t>
      </w:r>
    </w:p>
    <w:p w14:paraId="488F02C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16B2AE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e) Valor activado en el ejercicio de los bienes construidos por la entidad:</w:t>
      </w:r>
    </w:p>
    <w:p w14:paraId="77596469"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B6E0C7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07E07EC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4A6D754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g) Desmantelamiento de Activos, procedimientos, implicac</w:t>
      </w:r>
      <w:r w:rsidR="00277435">
        <w:rPr>
          <w:rFonts w:ascii="Arial" w:hAnsi="Arial" w:cs="Arial"/>
          <w:sz w:val="20"/>
          <w:szCs w:val="20"/>
        </w:rPr>
        <w:t>i</w:t>
      </w:r>
      <w:r w:rsidRPr="0039000B">
        <w:rPr>
          <w:rFonts w:ascii="Arial" w:hAnsi="Arial" w:cs="Arial"/>
          <w:sz w:val="20"/>
          <w:szCs w:val="20"/>
        </w:rPr>
        <w:t>ones, efectos contables:</w:t>
      </w:r>
    </w:p>
    <w:p w14:paraId="643A34A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28040760"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h) Administración de activos; planeación con el objetivo de que el ente los utilice de manera más efectiva:</w:t>
      </w:r>
    </w:p>
    <w:p w14:paraId="3D9BB3A2"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EAAEF97" w14:textId="77777777" w:rsidR="00A52E60" w:rsidRDefault="00047625" w:rsidP="00A52E60">
      <w:pPr>
        <w:jc w:val="both"/>
        <w:rPr>
          <w:rFonts w:ascii="Arial" w:hAnsi="Arial" w:cs="Arial"/>
          <w:sz w:val="20"/>
          <w:szCs w:val="20"/>
        </w:rPr>
      </w:pPr>
      <w:r w:rsidRPr="0039000B">
        <w:rPr>
          <w:rFonts w:ascii="Arial" w:hAnsi="Arial" w:cs="Arial"/>
          <w:sz w:val="20"/>
          <w:szCs w:val="20"/>
        </w:rPr>
        <w:t>Adicionalmente, se deben incluir las explicaciones de las principales variaciones en el activo, en cuadros comparativos como sigue:</w:t>
      </w:r>
    </w:p>
    <w:p w14:paraId="7EB66AEA" w14:textId="77777777" w:rsidR="00154051" w:rsidRPr="00A52E60" w:rsidRDefault="00A52E60" w:rsidP="00A52E60">
      <w:pPr>
        <w:jc w:val="both"/>
        <w:rPr>
          <w:rFonts w:ascii="Arial" w:hAnsi="Arial" w:cs="Arial"/>
          <w:sz w:val="20"/>
          <w:szCs w:val="20"/>
        </w:rPr>
      </w:pPr>
      <w:r w:rsidRPr="00A52E60">
        <w:rPr>
          <w:rFonts w:ascii="Arial" w:hAnsi="Arial" w:cs="Arial"/>
          <w:sz w:val="20"/>
          <w:szCs w:val="20"/>
        </w:rPr>
        <w:t>a)</w:t>
      </w:r>
      <w:r>
        <w:rPr>
          <w:rFonts w:ascii="Arial" w:hAnsi="Arial" w:cs="Arial"/>
          <w:sz w:val="20"/>
          <w:szCs w:val="20"/>
        </w:rPr>
        <w:t xml:space="preserve"> </w:t>
      </w:r>
      <w:r w:rsidR="00047625" w:rsidRPr="00A52E60">
        <w:rPr>
          <w:rFonts w:ascii="Arial" w:hAnsi="Arial" w:cs="Arial"/>
          <w:sz w:val="20"/>
          <w:szCs w:val="20"/>
        </w:rPr>
        <w:t>Inversiones en valores:</w:t>
      </w:r>
    </w:p>
    <w:p w14:paraId="373084FA" w14:textId="77777777" w:rsidR="00A52E60" w:rsidRPr="00A52E60" w:rsidRDefault="00A52E60" w:rsidP="00A52E60">
      <w:pPr>
        <w:jc w:val="both"/>
        <w:rPr>
          <w:rFonts w:ascii="Arial" w:hAnsi="Arial" w:cs="Arial"/>
          <w:sz w:val="20"/>
          <w:szCs w:val="20"/>
          <w:u w:val="single"/>
        </w:rPr>
      </w:pPr>
      <w:r w:rsidRPr="00A52E60">
        <w:rPr>
          <w:rFonts w:ascii="Arial" w:hAnsi="Arial" w:cs="Arial"/>
          <w:sz w:val="20"/>
          <w:szCs w:val="20"/>
          <w:u w:val="single"/>
        </w:rPr>
        <w:t>No aplica</w:t>
      </w:r>
    </w:p>
    <w:p w14:paraId="5B6A28EF"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Patrimonio de Organismos descentralizados de Control Presupuestario Indirecto:</w:t>
      </w:r>
    </w:p>
    <w:p w14:paraId="12B148EC"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6472F0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 Inversiones en empresas de participación mayoritaria:</w:t>
      </w:r>
    </w:p>
    <w:p w14:paraId="63E3AFE0"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0DF1525"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d) Inversiones en empresas de participación minoritaria:</w:t>
      </w:r>
    </w:p>
    <w:p w14:paraId="793AEE13"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64CC5399"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e) Patrimonio de organismos descentralizados de control presupuestario directo, según corresponda:</w:t>
      </w:r>
    </w:p>
    <w:p w14:paraId="0DB008CD" w14:textId="63A3BD7E" w:rsidR="00047625" w:rsidRDefault="00A04373" w:rsidP="00047625">
      <w:pPr>
        <w:jc w:val="both"/>
        <w:rPr>
          <w:rFonts w:ascii="Arial" w:hAnsi="Arial" w:cs="Arial"/>
          <w:sz w:val="20"/>
          <w:szCs w:val="20"/>
          <w:u w:val="single"/>
        </w:rPr>
      </w:pPr>
      <w:r w:rsidRPr="00014AA0">
        <w:rPr>
          <w:rFonts w:ascii="Arial" w:hAnsi="Arial" w:cs="Arial"/>
          <w:sz w:val="20"/>
          <w:szCs w:val="20"/>
          <w:u w:val="single"/>
        </w:rPr>
        <w:t>$1,</w:t>
      </w:r>
      <w:r w:rsidR="00C84EBB">
        <w:rPr>
          <w:rFonts w:ascii="Arial" w:hAnsi="Arial" w:cs="Arial"/>
          <w:sz w:val="20"/>
          <w:szCs w:val="20"/>
          <w:u w:val="single"/>
        </w:rPr>
        <w:t>120,548,887</w:t>
      </w:r>
      <w:r w:rsidR="00DA5648" w:rsidRPr="0039000B">
        <w:rPr>
          <w:rFonts w:ascii="Arial" w:hAnsi="Arial" w:cs="Arial"/>
          <w:sz w:val="20"/>
          <w:szCs w:val="20"/>
          <w:u w:val="single"/>
        </w:rPr>
        <w:t xml:space="preserve">      </w:t>
      </w:r>
    </w:p>
    <w:p w14:paraId="17621530" w14:textId="05AAE8F5" w:rsidR="00047625" w:rsidRPr="0039000B" w:rsidRDefault="00891CF3" w:rsidP="00047625">
      <w:pPr>
        <w:jc w:val="both"/>
        <w:rPr>
          <w:rFonts w:ascii="Arial" w:hAnsi="Arial" w:cs="Arial"/>
          <w:b/>
          <w:sz w:val="20"/>
          <w:szCs w:val="20"/>
        </w:rPr>
      </w:pPr>
      <w:r>
        <w:rPr>
          <w:rFonts w:ascii="Arial" w:hAnsi="Arial" w:cs="Arial"/>
          <w:b/>
          <w:sz w:val="20"/>
          <w:szCs w:val="20"/>
        </w:rPr>
        <w:t>8</w:t>
      </w:r>
      <w:r w:rsidR="00047625" w:rsidRPr="0039000B">
        <w:rPr>
          <w:rFonts w:ascii="Arial" w:hAnsi="Arial" w:cs="Arial"/>
          <w:b/>
          <w:sz w:val="20"/>
          <w:szCs w:val="20"/>
        </w:rPr>
        <w:t>. Fideicomisos, Mandatos y Análogos:</w:t>
      </w:r>
      <w:r w:rsidR="00047625" w:rsidRPr="0039000B">
        <w:rPr>
          <w:rFonts w:ascii="Arial" w:hAnsi="Arial" w:cs="Arial"/>
          <w:b/>
          <w:sz w:val="20"/>
          <w:szCs w:val="20"/>
        </w:rPr>
        <w:tab/>
      </w:r>
      <w:r w:rsidR="00047625" w:rsidRPr="0039000B">
        <w:rPr>
          <w:rFonts w:ascii="Arial" w:hAnsi="Arial" w:cs="Arial"/>
          <w:b/>
          <w:sz w:val="20"/>
          <w:szCs w:val="20"/>
        </w:rPr>
        <w:tab/>
      </w:r>
      <w:r w:rsidR="00047625" w:rsidRPr="0039000B">
        <w:rPr>
          <w:rFonts w:ascii="Arial" w:hAnsi="Arial" w:cs="Arial"/>
          <w:b/>
          <w:sz w:val="20"/>
          <w:szCs w:val="20"/>
        </w:rPr>
        <w:tab/>
      </w:r>
    </w:p>
    <w:p w14:paraId="28D38B1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deberá informar:</w:t>
      </w:r>
    </w:p>
    <w:p w14:paraId="568B8AC1"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Por ramo administrativo que los reporta:</w:t>
      </w:r>
    </w:p>
    <w:p w14:paraId="4256FE0E"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E5D472A"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Enlistar los de mayor monto de disponibilidad, relacionando aquéllos que conforman el 80% de las disponibilidades:</w:t>
      </w:r>
    </w:p>
    <w:p w14:paraId="7B7FD532" w14:textId="77777777" w:rsidR="00A37CA6" w:rsidRPr="0039000B" w:rsidRDefault="00047625" w:rsidP="00A37CA6">
      <w:pPr>
        <w:jc w:val="both"/>
        <w:rPr>
          <w:rFonts w:ascii="Arial" w:hAnsi="Arial" w:cs="Arial"/>
          <w:sz w:val="20"/>
          <w:szCs w:val="20"/>
          <w:u w:val="single"/>
        </w:rPr>
      </w:pPr>
      <w:r w:rsidRPr="0039000B">
        <w:rPr>
          <w:rFonts w:ascii="Arial" w:hAnsi="Arial" w:cs="Arial"/>
          <w:sz w:val="20"/>
          <w:szCs w:val="20"/>
          <w:u w:val="single"/>
        </w:rPr>
        <w:t>No aplica.</w:t>
      </w:r>
    </w:p>
    <w:p w14:paraId="77BCA666" w14:textId="0EDCE5ED" w:rsidR="00A37CA6" w:rsidRPr="0039000B" w:rsidRDefault="00891CF3" w:rsidP="00A37CA6">
      <w:pPr>
        <w:jc w:val="both"/>
        <w:rPr>
          <w:rFonts w:ascii="Arial" w:hAnsi="Arial" w:cs="Arial"/>
          <w:b/>
          <w:sz w:val="20"/>
          <w:szCs w:val="20"/>
        </w:rPr>
      </w:pPr>
      <w:r>
        <w:rPr>
          <w:rFonts w:ascii="Arial" w:hAnsi="Arial" w:cs="Arial"/>
          <w:b/>
          <w:sz w:val="20"/>
          <w:szCs w:val="20"/>
        </w:rPr>
        <w:t>9</w:t>
      </w:r>
      <w:r w:rsidR="00047625" w:rsidRPr="0039000B">
        <w:rPr>
          <w:rFonts w:ascii="Arial" w:hAnsi="Arial" w:cs="Arial"/>
          <w:b/>
          <w:sz w:val="20"/>
          <w:szCs w:val="20"/>
        </w:rPr>
        <w:t>. Reporte de la Recaudación:</w:t>
      </w:r>
    </w:p>
    <w:p w14:paraId="1B487ED5" w14:textId="73EAF350" w:rsidR="00047625" w:rsidRDefault="00047625" w:rsidP="00A37CA6">
      <w:pPr>
        <w:jc w:val="both"/>
        <w:rPr>
          <w:rFonts w:ascii="Arial" w:hAnsi="Arial" w:cs="Arial"/>
          <w:sz w:val="20"/>
          <w:szCs w:val="20"/>
        </w:rPr>
      </w:pPr>
      <w:r w:rsidRPr="0039000B">
        <w:rPr>
          <w:rFonts w:ascii="Arial" w:hAnsi="Arial" w:cs="Arial"/>
          <w:sz w:val="20"/>
          <w:szCs w:val="20"/>
        </w:rPr>
        <w:t>Análisis del comportamiento de la recaudación correspondiente al ente público o cualquier tipo de ingreso, de forma separada los ingresos locales de los federales:</w:t>
      </w:r>
    </w:p>
    <w:p w14:paraId="462FABBA" w14:textId="01880218" w:rsidR="000A0229" w:rsidRPr="00791183" w:rsidRDefault="00705ADA" w:rsidP="00C63926">
      <w:pPr>
        <w:pStyle w:val="Prrafodelista"/>
        <w:numPr>
          <w:ilvl w:val="0"/>
          <w:numId w:val="9"/>
        </w:numPr>
        <w:jc w:val="both"/>
        <w:rPr>
          <w:rFonts w:ascii="Arial" w:hAnsi="Arial" w:cs="Arial"/>
          <w:sz w:val="20"/>
          <w:szCs w:val="20"/>
        </w:rPr>
      </w:pPr>
      <w:r w:rsidRPr="00791183">
        <w:rPr>
          <w:rFonts w:ascii="Arial" w:hAnsi="Arial" w:cs="Arial"/>
          <w:sz w:val="20"/>
          <w:szCs w:val="20"/>
        </w:rPr>
        <w:t>Análisis del comportamiento de la recaudación correspondiente al ente público o cualquier tipo de ingreso, de forma separada los ingresos locales de los federales:</w:t>
      </w:r>
      <w:r w:rsidR="00DC1228" w:rsidRPr="00DC1228">
        <w:rPr>
          <w:noProof/>
        </w:rPr>
        <w:t xml:space="preserve"> </w:t>
      </w:r>
    </w:p>
    <w:p w14:paraId="667FE083" w14:textId="60100EA0" w:rsidR="000A0229" w:rsidRDefault="00915516" w:rsidP="000A0229">
      <w:pPr>
        <w:pStyle w:val="Prrafodelista"/>
        <w:jc w:val="both"/>
        <w:rPr>
          <w:rFonts w:ascii="Arial" w:hAnsi="Arial" w:cs="Arial"/>
          <w:sz w:val="20"/>
          <w:szCs w:val="20"/>
        </w:rPr>
      </w:pPr>
      <w:r w:rsidRPr="00915516">
        <w:rPr>
          <w:noProof/>
        </w:rPr>
        <w:drawing>
          <wp:inline distT="0" distB="0" distL="0" distR="0" wp14:anchorId="3A168E25" wp14:editId="4A7D2589">
            <wp:extent cx="5467350" cy="2314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621" cy="2318923"/>
                    </a:xfrm>
                    <a:prstGeom prst="rect">
                      <a:avLst/>
                    </a:prstGeom>
                    <a:noFill/>
                    <a:ln>
                      <a:noFill/>
                    </a:ln>
                  </pic:spPr>
                </pic:pic>
              </a:graphicData>
            </a:graphic>
          </wp:inline>
        </w:drawing>
      </w:r>
    </w:p>
    <w:p w14:paraId="4E4E55F7" w14:textId="45A8281A" w:rsidR="000A0229" w:rsidRDefault="000A0229" w:rsidP="000A0229">
      <w:pPr>
        <w:pStyle w:val="Prrafodelista"/>
        <w:jc w:val="both"/>
        <w:rPr>
          <w:rFonts w:ascii="Arial" w:hAnsi="Arial" w:cs="Arial"/>
          <w:sz w:val="20"/>
          <w:szCs w:val="20"/>
        </w:rPr>
      </w:pPr>
    </w:p>
    <w:p w14:paraId="67D35C98" w14:textId="0CC13F4A" w:rsidR="001D75CC" w:rsidRDefault="001D75CC" w:rsidP="000A0229">
      <w:pPr>
        <w:pStyle w:val="Prrafodelista"/>
        <w:jc w:val="both"/>
        <w:rPr>
          <w:rFonts w:ascii="Arial" w:hAnsi="Arial" w:cs="Arial"/>
          <w:sz w:val="20"/>
          <w:szCs w:val="20"/>
        </w:rPr>
      </w:pPr>
    </w:p>
    <w:p w14:paraId="5F0416F7" w14:textId="23140277" w:rsidR="000A0229" w:rsidRDefault="000A0229" w:rsidP="00056DA2">
      <w:pPr>
        <w:pStyle w:val="Prrafodelista"/>
        <w:numPr>
          <w:ilvl w:val="0"/>
          <w:numId w:val="9"/>
        </w:numPr>
        <w:jc w:val="both"/>
        <w:rPr>
          <w:rFonts w:ascii="Arial" w:hAnsi="Arial" w:cs="Arial"/>
          <w:sz w:val="20"/>
          <w:szCs w:val="20"/>
        </w:rPr>
      </w:pPr>
      <w:r w:rsidRPr="00791183">
        <w:rPr>
          <w:rFonts w:ascii="Arial" w:hAnsi="Arial" w:cs="Arial"/>
          <w:sz w:val="20"/>
          <w:szCs w:val="20"/>
        </w:rPr>
        <w:t>Proyección de la recaudación e ingresos en el mediano plazo:</w:t>
      </w:r>
    </w:p>
    <w:p w14:paraId="51AF4939" w14:textId="77777777" w:rsidR="00DC1228" w:rsidRPr="00791183" w:rsidRDefault="00DC1228" w:rsidP="00DC1228">
      <w:pPr>
        <w:pStyle w:val="Prrafodelista"/>
        <w:jc w:val="both"/>
        <w:rPr>
          <w:rFonts w:ascii="Arial" w:hAnsi="Arial" w:cs="Arial"/>
          <w:sz w:val="20"/>
          <w:szCs w:val="20"/>
        </w:rPr>
      </w:pPr>
    </w:p>
    <w:p w14:paraId="10151136" w14:textId="5BBAF7DB" w:rsidR="00BB3410" w:rsidRDefault="00EE4982" w:rsidP="00320BF7">
      <w:pPr>
        <w:ind w:left="360"/>
        <w:jc w:val="both"/>
        <w:rPr>
          <w:rFonts w:ascii="Arial" w:hAnsi="Arial" w:cs="Arial"/>
          <w:sz w:val="20"/>
          <w:szCs w:val="20"/>
        </w:rPr>
      </w:pPr>
      <w:r w:rsidRPr="00EE4982">
        <w:rPr>
          <w:noProof/>
        </w:rPr>
        <w:drawing>
          <wp:inline distT="0" distB="0" distL="0" distR="0" wp14:anchorId="68511776" wp14:editId="7E74A3C0">
            <wp:extent cx="7553325" cy="3895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3895725"/>
                    </a:xfrm>
                    <a:prstGeom prst="rect">
                      <a:avLst/>
                    </a:prstGeom>
                    <a:noFill/>
                    <a:ln>
                      <a:noFill/>
                    </a:ln>
                  </pic:spPr>
                </pic:pic>
              </a:graphicData>
            </a:graphic>
          </wp:inline>
        </w:drawing>
      </w:r>
    </w:p>
    <w:p w14:paraId="605E04D8" w14:textId="77777777" w:rsidR="00DC1228" w:rsidRDefault="00DC1228" w:rsidP="00047625">
      <w:pPr>
        <w:jc w:val="both"/>
        <w:rPr>
          <w:rFonts w:ascii="Arial" w:hAnsi="Arial" w:cs="Arial"/>
          <w:b/>
          <w:sz w:val="20"/>
          <w:szCs w:val="20"/>
        </w:rPr>
      </w:pPr>
    </w:p>
    <w:p w14:paraId="27AEC178" w14:textId="37520386"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0</w:t>
      </w:r>
      <w:r w:rsidRPr="0039000B">
        <w:rPr>
          <w:rFonts w:ascii="Arial" w:hAnsi="Arial" w:cs="Arial"/>
          <w:b/>
          <w:sz w:val="20"/>
          <w:szCs w:val="20"/>
        </w:rPr>
        <w:t>. Información sobre la Deuda y el Reporte Analítico de la Deuda: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7640DB47"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lo siguiente:</w:t>
      </w:r>
    </w:p>
    <w:p w14:paraId="312925F6"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lastRenderedPageBreak/>
        <w:t>a) Utilizar al menos los siguientes indicadores: deuda respecto al PIB y deuda respecto a la recaudación tomando, como mínimo, un período igual o menor a 5 años.</w:t>
      </w:r>
    </w:p>
    <w:p w14:paraId="7E88CC19" w14:textId="77777777" w:rsidR="00F109D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0A1ED510" w14:textId="77777777" w:rsidR="00B46B8E" w:rsidRDefault="00047625" w:rsidP="00047625">
      <w:pPr>
        <w:jc w:val="both"/>
        <w:rPr>
          <w:rFonts w:ascii="Arial" w:hAnsi="Arial" w:cs="Arial"/>
          <w:sz w:val="20"/>
          <w:szCs w:val="20"/>
        </w:rPr>
      </w:pPr>
      <w:r w:rsidRPr="0039000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71014E42" w14:textId="66C0B64F" w:rsidR="00791183"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13F1C64A" w14:textId="77777777" w:rsidR="00DC1228" w:rsidRDefault="00DC1228" w:rsidP="00047625">
      <w:pPr>
        <w:jc w:val="both"/>
        <w:rPr>
          <w:rFonts w:ascii="Arial" w:hAnsi="Arial" w:cs="Arial"/>
          <w:b/>
          <w:sz w:val="20"/>
          <w:szCs w:val="20"/>
        </w:rPr>
      </w:pPr>
    </w:p>
    <w:p w14:paraId="5B67AC99" w14:textId="3698834C"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1</w:t>
      </w:r>
      <w:r w:rsidRPr="0039000B">
        <w:rPr>
          <w:rFonts w:ascii="Arial" w:hAnsi="Arial" w:cs="Arial"/>
          <w:b/>
          <w:sz w:val="20"/>
          <w:szCs w:val="20"/>
        </w:rPr>
        <w:t>. Calificaciones otorgadas: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33554512"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Informar, tanto del ente público como cualquier transacción realizada, que haya sido sujeta a una calificación crediticia:</w:t>
      </w:r>
    </w:p>
    <w:p w14:paraId="6947950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7A2E5243" w14:textId="561C3B22"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2</w:t>
      </w:r>
      <w:r w:rsidRPr="0039000B">
        <w:rPr>
          <w:rFonts w:ascii="Arial" w:hAnsi="Arial" w:cs="Arial"/>
          <w:b/>
          <w:sz w:val="20"/>
          <w:szCs w:val="20"/>
        </w:rPr>
        <w:t>. Proceso de Mejora:</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E16D12B"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informará de:</w:t>
      </w:r>
    </w:p>
    <w:p w14:paraId="2C635024"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a) Principales Políticas de control interno:</w:t>
      </w:r>
    </w:p>
    <w:p w14:paraId="79062FAB" w14:textId="77777777" w:rsidR="00E33BF4" w:rsidRPr="0039000B" w:rsidRDefault="00146DBE"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 xml:space="preserve">Fichas de </w:t>
      </w:r>
      <w:r w:rsidR="00E33BF4" w:rsidRPr="0039000B">
        <w:rPr>
          <w:rFonts w:ascii="Arial" w:hAnsi="Arial" w:cs="Arial"/>
          <w:bCs/>
          <w:sz w:val="20"/>
          <w:szCs w:val="20"/>
          <w:u w:val="single"/>
          <w:lang w:val="es-ES"/>
        </w:rPr>
        <w:t>Procesos para regular las adquisiciones</w:t>
      </w:r>
    </w:p>
    <w:p w14:paraId="7D5FB4F8"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Procesos de apoyo para gestión de almacenes</w:t>
      </w:r>
    </w:p>
    <w:p w14:paraId="5BAE860D"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w:t>
      </w:r>
      <w:r w:rsidRPr="0039000B">
        <w:rPr>
          <w:rFonts w:ascii="Arial" w:hAnsi="Arial" w:cs="Arial"/>
          <w:bCs/>
          <w:sz w:val="20"/>
          <w:szCs w:val="20"/>
          <w:u w:val="single"/>
          <w:lang w:val="es-ES"/>
        </w:rPr>
        <w:t xml:space="preserve"> para pagos.</w:t>
      </w:r>
    </w:p>
    <w:p w14:paraId="51599995"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dimiento para el</w:t>
      </w:r>
      <w:r w:rsidRPr="0039000B">
        <w:rPr>
          <w:rFonts w:ascii="Arial" w:hAnsi="Arial" w:cs="Arial"/>
          <w:bCs/>
          <w:sz w:val="20"/>
          <w:szCs w:val="20"/>
          <w:u w:val="single"/>
          <w:lang w:val="es-ES"/>
        </w:rPr>
        <w:t xml:space="preserve"> manejo de Fondo Fijo</w:t>
      </w:r>
    </w:p>
    <w:p w14:paraId="7565C271"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04373" w:rsidRPr="0039000B">
        <w:rPr>
          <w:rFonts w:ascii="Arial" w:hAnsi="Arial" w:cs="Arial"/>
          <w:bCs/>
          <w:sz w:val="20"/>
          <w:szCs w:val="20"/>
          <w:u w:val="single"/>
          <w:lang w:val="es-ES"/>
        </w:rPr>
        <w:t xml:space="preserve">dimiento </w:t>
      </w:r>
      <w:r w:rsidR="00AD5299" w:rsidRPr="0039000B">
        <w:rPr>
          <w:rFonts w:ascii="Arial" w:hAnsi="Arial" w:cs="Arial"/>
          <w:bCs/>
          <w:sz w:val="20"/>
          <w:szCs w:val="20"/>
          <w:u w:val="single"/>
          <w:lang w:val="es-ES"/>
        </w:rPr>
        <w:t>para la comprobación de gastos</w:t>
      </w:r>
    </w:p>
    <w:p w14:paraId="5BE156AB" w14:textId="77777777" w:rsidR="00E33BF4" w:rsidRPr="0039000B" w:rsidRDefault="00E33BF4" w:rsidP="00047625">
      <w:pPr>
        <w:numPr>
          <w:ilvl w:val="0"/>
          <w:numId w:val="3"/>
        </w:numPr>
        <w:jc w:val="both"/>
        <w:rPr>
          <w:rFonts w:ascii="Arial" w:hAnsi="Arial" w:cs="Arial"/>
          <w:bCs/>
          <w:sz w:val="20"/>
          <w:szCs w:val="20"/>
          <w:u w:val="single"/>
          <w:lang w:val="es-ES"/>
        </w:rPr>
      </w:pPr>
      <w:r w:rsidRPr="0039000B">
        <w:rPr>
          <w:rFonts w:ascii="Arial" w:hAnsi="Arial" w:cs="Arial"/>
          <w:bCs/>
          <w:sz w:val="20"/>
          <w:szCs w:val="20"/>
          <w:u w:val="single"/>
          <w:lang w:val="es-ES"/>
        </w:rPr>
        <w:t>Proce</w:t>
      </w:r>
      <w:r w:rsidR="00AD5299" w:rsidRPr="0039000B">
        <w:rPr>
          <w:rFonts w:ascii="Arial" w:hAnsi="Arial" w:cs="Arial"/>
          <w:bCs/>
          <w:sz w:val="20"/>
          <w:szCs w:val="20"/>
          <w:u w:val="single"/>
          <w:lang w:val="es-ES"/>
        </w:rPr>
        <w:t xml:space="preserve">dimiento para el </w:t>
      </w:r>
      <w:r w:rsidRPr="0039000B">
        <w:rPr>
          <w:rFonts w:ascii="Arial" w:hAnsi="Arial" w:cs="Arial"/>
          <w:bCs/>
          <w:sz w:val="20"/>
          <w:szCs w:val="20"/>
          <w:u w:val="single"/>
          <w:lang w:val="es-ES"/>
        </w:rPr>
        <w:t>pago de Nómina</w:t>
      </w:r>
    </w:p>
    <w:p w14:paraId="6EC6D46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b) Medidas de desempeño financiero, metas y alcance:</w:t>
      </w:r>
    </w:p>
    <w:p w14:paraId="5CD078E5" w14:textId="4AD6EB21"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lastRenderedPageBreak/>
        <w:t>Como medida de de</w:t>
      </w:r>
      <w:r w:rsidR="00440723" w:rsidRPr="0039000B">
        <w:rPr>
          <w:rFonts w:ascii="Arial" w:hAnsi="Arial" w:cs="Arial"/>
          <w:sz w:val="20"/>
          <w:szCs w:val="20"/>
          <w:u w:val="single"/>
        </w:rPr>
        <w:t xml:space="preserve">sempeño financiero se </w:t>
      </w:r>
      <w:proofErr w:type="spellStart"/>
      <w:r w:rsidR="00350801">
        <w:rPr>
          <w:rFonts w:ascii="Arial" w:hAnsi="Arial" w:cs="Arial"/>
          <w:sz w:val="20"/>
          <w:szCs w:val="20"/>
          <w:u w:val="single"/>
        </w:rPr>
        <w:t>aperturaron</w:t>
      </w:r>
      <w:proofErr w:type="spellEnd"/>
      <w:r w:rsidR="009D6397">
        <w:rPr>
          <w:rFonts w:ascii="Arial" w:hAnsi="Arial" w:cs="Arial"/>
          <w:sz w:val="20"/>
          <w:szCs w:val="20"/>
          <w:u w:val="single"/>
        </w:rPr>
        <w:t xml:space="preserve"> </w:t>
      </w:r>
      <w:r w:rsidRPr="0039000B">
        <w:rPr>
          <w:rFonts w:ascii="Arial" w:hAnsi="Arial" w:cs="Arial"/>
          <w:sz w:val="20"/>
          <w:szCs w:val="20"/>
          <w:u w:val="single"/>
        </w:rPr>
        <w:t>cuentas bancarias para el manejo por fuente de financiamiento y/o proyecto de inversión.</w:t>
      </w:r>
    </w:p>
    <w:p w14:paraId="44BAC9A0"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cuanto a la presencia del SABES a nivel estatal se considera el número de municipios atendidos por el SABES en el año en relación al total de municipios del estado de Guanajuato.</w:t>
      </w:r>
    </w:p>
    <w:p w14:paraId="4CD5D032"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Para medir el cumplimiento del plan de vinculación con empresas institucionales se toma la relación entre el total de empresas vinculadas en el año y el número total de empresas programadas a vincular en el año.</w:t>
      </w:r>
    </w:p>
    <w:p w14:paraId="41A0FC89" w14:textId="77777777" w:rsidR="00047625" w:rsidRPr="0039000B" w:rsidRDefault="00047625" w:rsidP="00047625">
      <w:pPr>
        <w:numPr>
          <w:ilvl w:val="0"/>
          <w:numId w:val="4"/>
        </w:numPr>
        <w:jc w:val="both"/>
        <w:rPr>
          <w:rFonts w:ascii="Arial" w:hAnsi="Arial" w:cs="Arial"/>
          <w:sz w:val="20"/>
          <w:szCs w:val="20"/>
          <w:u w:val="single"/>
        </w:rPr>
      </w:pPr>
      <w:r w:rsidRPr="0039000B">
        <w:rPr>
          <w:rFonts w:ascii="Arial" w:hAnsi="Arial" w:cs="Arial"/>
          <w:sz w:val="20"/>
          <w:szCs w:val="20"/>
          <w:u w:val="single"/>
        </w:rPr>
        <w:t>En el avance de los procedimientos para la certificación en el proceso educativo se toma como indicador el número de procedimientos para la certificación del proceso educativo autorizados en el año, entre el número de procedimientos para la certificación del proceso educativo programados en el año de análisis.</w:t>
      </w:r>
      <w:r w:rsidR="000A0527" w:rsidRPr="0039000B">
        <w:rPr>
          <w:rFonts w:ascii="Arial" w:hAnsi="Arial" w:cs="Arial"/>
          <w:sz w:val="20"/>
          <w:szCs w:val="20"/>
          <w:u w:val="single"/>
        </w:rPr>
        <w:t xml:space="preserve"> </w:t>
      </w:r>
      <w:r w:rsidRPr="0039000B">
        <w:rPr>
          <w:rFonts w:ascii="Arial" w:hAnsi="Arial" w:cs="Arial"/>
          <w:sz w:val="20"/>
          <w:szCs w:val="20"/>
          <w:u w:val="single"/>
        </w:rPr>
        <w:t>Como medida para la eficiencia terminal del bachillerato se toma el número de estudiantes egresados de la generación N, con relación al número de estudiantes de nuevo ingreso de la generación N.</w:t>
      </w:r>
      <w:r w:rsidR="000A0527" w:rsidRPr="0039000B">
        <w:rPr>
          <w:rFonts w:ascii="Arial" w:hAnsi="Arial" w:cs="Arial"/>
          <w:sz w:val="20"/>
          <w:szCs w:val="20"/>
          <w:u w:val="single"/>
        </w:rPr>
        <w:t xml:space="preserve"> </w:t>
      </w:r>
      <w:r w:rsidRPr="0039000B">
        <w:rPr>
          <w:rFonts w:ascii="Arial" w:hAnsi="Arial" w:cs="Arial"/>
          <w:sz w:val="20"/>
          <w:szCs w:val="20"/>
          <w:u w:val="single"/>
        </w:rPr>
        <w:t>En la universidad se mide el porcentaje de aprobación considerando el número de estudiantes aprobados al final del ciclo con relación al número de estudiantes existentes al final del ciclo.</w:t>
      </w:r>
    </w:p>
    <w:p w14:paraId="5804DC99" w14:textId="3D50C9E4"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3</w:t>
      </w:r>
      <w:r w:rsidRPr="0039000B">
        <w:rPr>
          <w:rFonts w:ascii="Arial" w:hAnsi="Arial" w:cs="Arial"/>
          <w:b/>
          <w:sz w:val="20"/>
          <w:szCs w:val="20"/>
        </w:rPr>
        <w:t>. Información por Segmentos:</w:t>
      </w:r>
      <w:r w:rsidRPr="0039000B">
        <w:rPr>
          <w:rFonts w:ascii="Arial" w:hAnsi="Arial" w:cs="Arial"/>
          <w:b/>
          <w:sz w:val="20"/>
          <w:szCs w:val="20"/>
        </w:rPr>
        <w:tab/>
      </w:r>
    </w:p>
    <w:p w14:paraId="4D8FC8B3"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013632E"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Consecuentemente, esta información contribuye al análisis más preciso de la situación financiera, grados y fuentes de riesgo y crecimiento potencial de negocio.</w:t>
      </w:r>
      <w:r w:rsidRPr="0039000B">
        <w:rPr>
          <w:rFonts w:ascii="Arial" w:hAnsi="Arial" w:cs="Arial"/>
          <w:sz w:val="20"/>
          <w:szCs w:val="20"/>
        </w:rPr>
        <w:tab/>
      </w:r>
    </w:p>
    <w:p w14:paraId="22D0A19F" w14:textId="77777777" w:rsidR="00047625" w:rsidRPr="0039000B" w:rsidRDefault="00047625" w:rsidP="00047625">
      <w:pPr>
        <w:jc w:val="both"/>
        <w:rPr>
          <w:rFonts w:ascii="Arial" w:hAnsi="Arial" w:cs="Arial"/>
          <w:sz w:val="20"/>
          <w:szCs w:val="20"/>
          <w:u w:val="single"/>
        </w:rPr>
      </w:pPr>
      <w:r w:rsidRPr="0039000B">
        <w:rPr>
          <w:rFonts w:ascii="Arial" w:hAnsi="Arial" w:cs="Arial"/>
          <w:sz w:val="20"/>
          <w:szCs w:val="20"/>
          <w:u w:val="single"/>
        </w:rPr>
        <w:t>No aplica.</w:t>
      </w:r>
    </w:p>
    <w:p w14:paraId="38D5164C" w14:textId="25B12655" w:rsidR="00047625" w:rsidRPr="0039000B" w:rsidRDefault="00047625" w:rsidP="00047625">
      <w:pPr>
        <w:jc w:val="both"/>
        <w:rPr>
          <w:rFonts w:ascii="Arial" w:hAnsi="Arial" w:cs="Arial"/>
          <w:b/>
          <w:sz w:val="20"/>
          <w:szCs w:val="20"/>
        </w:rPr>
      </w:pPr>
      <w:r w:rsidRPr="0039000B">
        <w:rPr>
          <w:rFonts w:ascii="Arial" w:hAnsi="Arial" w:cs="Arial"/>
          <w:b/>
          <w:sz w:val="20"/>
          <w:szCs w:val="20"/>
        </w:rPr>
        <w:t>1</w:t>
      </w:r>
      <w:r w:rsidR="00891CF3">
        <w:rPr>
          <w:rFonts w:ascii="Arial" w:hAnsi="Arial" w:cs="Arial"/>
          <w:b/>
          <w:sz w:val="20"/>
          <w:szCs w:val="20"/>
        </w:rPr>
        <w:t>4</w:t>
      </w:r>
      <w:r w:rsidRPr="0039000B">
        <w:rPr>
          <w:rFonts w:ascii="Arial" w:hAnsi="Arial" w:cs="Arial"/>
          <w:b/>
          <w:sz w:val="20"/>
          <w:szCs w:val="20"/>
        </w:rPr>
        <w:t>. Eventos Posteriores al Cierre:</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61C52AAA" w14:textId="77777777" w:rsidR="0089690A" w:rsidRPr="0039000B" w:rsidRDefault="00047625" w:rsidP="00047625">
      <w:pPr>
        <w:jc w:val="both"/>
        <w:rPr>
          <w:rFonts w:ascii="Arial" w:hAnsi="Arial" w:cs="Arial"/>
          <w:sz w:val="20"/>
          <w:szCs w:val="20"/>
        </w:rPr>
      </w:pPr>
      <w:r w:rsidRPr="0039000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6402996B" w14:textId="29C2E046" w:rsidR="004E6577" w:rsidRDefault="00A1585A" w:rsidP="00047625">
      <w:pPr>
        <w:jc w:val="both"/>
        <w:rPr>
          <w:rFonts w:ascii="Arial" w:hAnsi="Arial" w:cs="Arial"/>
          <w:sz w:val="20"/>
          <w:szCs w:val="20"/>
          <w:u w:val="single"/>
        </w:rPr>
      </w:pPr>
      <w:r>
        <w:rPr>
          <w:rFonts w:ascii="Arial" w:hAnsi="Arial" w:cs="Arial"/>
          <w:sz w:val="20"/>
          <w:szCs w:val="20"/>
          <w:u w:val="single"/>
          <w:lang w:val="es-ES"/>
        </w:rPr>
        <w:t>Sin datos que revelar en el trimestre</w:t>
      </w:r>
      <w:r w:rsidR="00047625" w:rsidRPr="0039000B">
        <w:rPr>
          <w:rFonts w:ascii="Arial" w:hAnsi="Arial" w:cs="Arial"/>
          <w:sz w:val="20"/>
          <w:szCs w:val="20"/>
          <w:u w:val="single"/>
        </w:rPr>
        <w:t xml:space="preserve"> </w:t>
      </w:r>
    </w:p>
    <w:p w14:paraId="34229421" w14:textId="2D998065" w:rsidR="0031356A" w:rsidRDefault="0031356A" w:rsidP="00047625">
      <w:pPr>
        <w:jc w:val="both"/>
        <w:rPr>
          <w:rFonts w:ascii="Arial" w:hAnsi="Arial" w:cs="Arial"/>
          <w:sz w:val="20"/>
          <w:szCs w:val="20"/>
          <w:u w:val="single"/>
        </w:rPr>
      </w:pPr>
    </w:p>
    <w:p w14:paraId="74DF6453" w14:textId="77777777" w:rsidR="0031356A" w:rsidRDefault="0031356A" w:rsidP="00047625">
      <w:pPr>
        <w:jc w:val="both"/>
        <w:rPr>
          <w:rFonts w:ascii="Arial" w:hAnsi="Arial" w:cs="Arial"/>
          <w:sz w:val="20"/>
          <w:szCs w:val="20"/>
          <w:u w:val="single"/>
        </w:rPr>
      </w:pPr>
    </w:p>
    <w:p w14:paraId="52C479A8" w14:textId="7A024257" w:rsidR="00047625" w:rsidRPr="0039000B" w:rsidRDefault="00047625" w:rsidP="00047625">
      <w:pPr>
        <w:jc w:val="both"/>
        <w:rPr>
          <w:rFonts w:ascii="Arial" w:hAnsi="Arial" w:cs="Arial"/>
          <w:b/>
          <w:sz w:val="20"/>
          <w:szCs w:val="20"/>
        </w:rPr>
      </w:pPr>
      <w:r w:rsidRPr="0039000B">
        <w:rPr>
          <w:rFonts w:ascii="Arial" w:hAnsi="Arial" w:cs="Arial"/>
          <w:b/>
          <w:sz w:val="20"/>
          <w:szCs w:val="20"/>
        </w:rPr>
        <w:lastRenderedPageBreak/>
        <w:t>1</w:t>
      </w:r>
      <w:r w:rsidR="00891CF3">
        <w:rPr>
          <w:rFonts w:ascii="Arial" w:hAnsi="Arial" w:cs="Arial"/>
          <w:b/>
          <w:sz w:val="20"/>
          <w:szCs w:val="20"/>
        </w:rPr>
        <w:t>5</w:t>
      </w:r>
      <w:r w:rsidRPr="0039000B">
        <w:rPr>
          <w:rFonts w:ascii="Arial" w:hAnsi="Arial" w:cs="Arial"/>
          <w:b/>
          <w:sz w:val="20"/>
          <w:szCs w:val="20"/>
        </w:rPr>
        <w:t>. Partes Relacionadas:</w:t>
      </w:r>
      <w:r w:rsidRPr="0039000B">
        <w:rPr>
          <w:rFonts w:ascii="Arial" w:hAnsi="Arial" w:cs="Arial"/>
          <w:b/>
          <w:sz w:val="20"/>
          <w:szCs w:val="20"/>
        </w:rPr>
        <w:tab/>
      </w:r>
      <w:r w:rsidRPr="0039000B">
        <w:rPr>
          <w:rFonts w:ascii="Arial" w:hAnsi="Arial" w:cs="Arial"/>
          <w:b/>
          <w:sz w:val="20"/>
          <w:szCs w:val="20"/>
        </w:rPr>
        <w:tab/>
      </w:r>
      <w:r w:rsidRPr="0039000B">
        <w:rPr>
          <w:rFonts w:ascii="Arial" w:hAnsi="Arial" w:cs="Arial"/>
          <w:b/>
          <w:sz w:val="20"/>
          <w:szCs w:val="20"/>
        </w:rPr>
        <w:tab/>
      </w:r>
    </w:p>
    <w:p w14:paraId="567C0F6D" w14:textId="77777777" w:rsidR="00047625" w:rsidRPr="0039000B" w:rsidRDefault="00047625" w:rsidP="00047625">
      <w:pPr>
        <w:jc w:val="both"/>
        <w:rPr>
          <w:rFonts w:ascii="Arial" w:hAnsi="Arial" w:cs="Arial"/>
          <w:sz w:val="20"/>
          <w:szCs w:val="20"/>
        </w:rPr>
      </w:pPr>
      <w:r w:rsidRPr="0039000B">
        <w:rPr>
          <w:rFonts w:ascii="Arial" w:hAnsi="Arial" w:cs="Arial"/>
          <w:sz w:val="20"/>
          <w:szCs w:val="20"/>
        </w:rPr>
        <w:t>Se debe establecer por escrito que no existen partes relacionadas que pudieran ejercer influencia significativa sobre la toma de decisiones financieras y operativas:</w:t>
      </w:r>
    </w:p>
    <w:p w14:paraId="568738F8" w14:textId="3E0CD96F" w:rsidR="00D14769" w:rsidRDefault="00047625" w:rsidP="003B6C8E">
      <w:pPr>
        <w:jc w:val="both"/>
        <w:rPr>
          <w:rFonts w:ascii="Arial" w:hAnsi="Arial" w:cs="Arial"/>
          <w:sz w:val="20"/>
          <w:szCs w:val="20"/>
        </w:rPr>
      </w:pPr>
      <w:r w:rsidRPr="0039000B">
        <w:rPr>
          <w:rFonts w:ascii="Arial" w:hAnsi="Arial" w:cs="Arial"/>
          <w:sz w:val="20"/>
          <w:szCs w:val="20"/>
          <w:u w:val="single"/>
        </w:rPr>
        <w:t>No</w:t>
      </w:r>
      <w:r w:rsidR="00AD5299" w:rsidRPr="0039000B">
        <w:rPr>
          <w:rFonts w:ascii="Arial" w:hAnsi="Arial" w:cs="Arial"/>
          <w:sz w:val="20"/>
          <w:szCs w:val="20"/>
          <w:u w:val="single"/>
        </w:rPr>
        <w:t xml:space="preserve"> existen partes relacionadas que pudieran ejercer influencia significativa sobre la toma de decisiones financieras y </w:t>
      </w:r>
      <w:r w:rsidR="00D14769" w:rsidRPr="0039000B">
        <w:rPr>
          <w:rFonts w:ascii="Arial" w:hAnsi="Arial" w:cs="Arial"/>
          <w:sz w:val="20"/>
          <w:szCs w:val="20"/>
          <w:u w:val="single"/>
        </w:rPr>
        <w:t>operativas.</w:t>
      </w:r>
      <w:r w:rsidR="00D14769" w:rsidRPr="0039000B">
        <w:rPr>
          <w:rFonts w:ascii="Arial" w:hAnsi="Arial" w:cs="Arial"/>
          <w:sz w:val="20"/>
          <w:szCs w:val="20"/>
        </w:rPr>
        <w:t xml:space="preserve"> </w:t>
      </w:r>
    </w:p>
    <w:p w14:paraId="4D2C6535" w14:textId="77777777" w:rsidR="00C84EBB" w:rsidRDefault="00C84EBB" w:rsidP="00DD4EE3">
      <w:pPr>
        <w:jc w:val="both"/>
        <w:rPr>
          <w:rFonts w:ascii="Arial" w:hAnsi="Arial" w:cs="Arial"/>
          <w:b/>
          <w:sz w:val="20"/>
          <w:szCs w:val="20"/>
        </w:rPr>
      </w:pPr>
    </w:p>
    <w:p w14:paraId="012A4C4B" w14:textId="1BA968F6" w:rsidR="00DD4EE3" w:rsidRPr="00DD4EE3" w:rsidRDefault="00DD4EE3" w:rsidP="00DD4EE3">
      <w:pPr>
        <w:jc w:val="both"/>
        <w:rPr>
          <w:rFonts w:ascii="Arial" w:hAnsi="Arial" w:cs="Arial"/>
          <w:b/>
          <w:sz w:val="20"/>
          <w:szCs w:val="20"/>
        </w:rPr>
      </w:pPr>
      <w:r w:rsidRPr="00DD4EE3">
        <w:rPr>
          <w:rFonts w:ascii="Arial" w:hAnsi="Arial" w:cs="Arial"/>
          <w:b/>
          <w:sz w:val="20"/>
          <w:szCs w:val="20"/>
        </w:rPr>
        <w:t>1</w:t>
      </w:r>
      <w:r w:rsidR="00891CF3">
        <w:rPr>
          <w:rFonts w:ascii="Arial" w:hAnsi="Arial" w:cs="Arial"/>
          <w:b/>
          <w:sz w:val="20"/>
          <w:szCs w:val="20"/>
        </w:rPr>
        <w:t>6</w:t>
      </w:r>
      <w:r w:rsidRPr="00DD4EE3">
        <w:rPr>
          <w:rFonts w:ascii="Arial" w:hAnsi="Arial" w:cs="Arial"/>
          <w:b/>
          <w:sz w:val="20"/>
          <w:szCs w:val="20"/>
        </w:rPr>
        <w:t>. Responsabilidad Sobre la Presentación Razonable de la Información Contable</w:t>
      </w:r>
    </w:p>
    <w:p w14:paraId="4EBD8FA5" w14:textId="77777777" w:rsidR="00DD4EE3" w:rsidRPr="00DD4EE3" w:rsidRDefault="00DD4EE3" w:rsidP="00DD4EE3">
      <w:pPr>
        <w:pStyle w:val="NormalWeb"/>
        <w:spacing w:after="120" w:afterAutospacing="0" w:line="276" w:lineRule="auto"/>
        <w:rPr>
          <w:rFonts w:ascii="Arial" w:eastAsia="Calibri" w:hAnsi="Arial" w:cs="Arial"/>
          <w:sz w:val="20"/>
          <w:szCs w:val="20"/>
          <w:lang w:eastAsia="en-US"/>
        </w:rPr>
      </w:pPr>
      <w:r w:rsidRPr="00DD4EE3">
        <w:rPr>
          <w:rFonts w:ascii="Arial" w:eastAsia="Calibri" w:hAnsi="Arial" w:cs="Arial"/>
          <w:sz w:val="20"/>
          <w:szCs w:val="20"/>
          <w:lang w:eastAsia="en-US"/>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D4DA86F" w14:textId="5687D974" w:rsidR="00791183" w:rsidRDefault="00D14769" w:rsidP="003B6C8E">
      <w:pPr>
        <w:jc w:val="both"/>
        <w:rPr>
          <w:rFonts w:ascii="Arial" w:hAnsi="Arial" w:cs="Arial"/>
          <w:sz w:val="20"/>
          <w:szCs w:val="20"/>
        </w:rPr>
      </w:pPr>
      <w:r w:rsidRPr="0039000B">
        <w:rPr>
          <w:rFonts w:ascii="Arial" w:hAnsi="Arial" w:cs="Arial"/>
          <w:sz w:val="20"/>
          <w:szCs w:val="20"/>
        </w:rPr>
        <w:t>“Bajo</w:t>
      </w:r>
      <w:r w:rsidR="00CD565B" w:rsidRPr="0039000B">
        <w:rPr>
          <w:rFonts w:ascii="Arial" w:hAnsi="Arial" w:cs="Arial"/>
          <w:sz w:val="20"/>
          <w:szCs w:val="20"/>
        </w:rPr>
        <w:t xml:space="preserve"> protesta de decir verdad declaramos que los Estados Financieros y sus notas, son razonablemente correctos y son responsabilidad del emisor”.</w:t>
      </w:r>
    </w:p>
    <w:p w14:paraId="47DDBECE" w14:textId="3B3372CD" w:rsidR="00791183" w:rsidRDefault="00791183" w:rsidP="003B6C8E">
      <w:pPr>
        <w:jc w:val="both"/>
        <w:rPr>
          <w:rFonts w:ascii="Arial" w:hAnsi="Arial" w:cs="Arial"/>
          <w:sz w:val="20"/>
          <w:szCs w:val="20"/>
        </w:rPr>
      </w:pPr>
    </w:p>
    <w:p w14:paraId="3FC8066D" w14:textId="77AB6946" w:rsidR="00C84EBB" w:rsidRDefault="00C84EBB" w:rsidP="003B6C8E">
      <w:pPr>
        <w:jc w:val="both"/>
        <w:rPr>
          <w:rFonts w:ascii="Arial" w:hAnsi="Arial" w:cs="Arial"/>
          <w:sz w:val="20"/>
          <w:szCs w:val="20"/>
        </w:rPr>
      </w:pPr>
    </w:p>
    <w:p w14:paraId="05F28EEE" w14:textId="4561F489" w:rsidR="00C84EBB" w:rsidRDefault="00C84EBB" w:rsidP="003B6C8E">
      <w:pPr>
        <w:jc w:val="both"/>
        <w:rPr>
          <w:rFonts w:ascii="Arial" w:hAnsi="Arial" w:cs="Arial"/>
          <w:sz w:val="20"/>
          <w:szCs w:val="20"/>
        </w:rPr>
      </w:pPr>
    </w:p>
    <w:p w14:paraId="59EF0ED3" w14:textId="43189370" w:rsidR="00C84EBB" w:rsidRDefault="00C84EBB" w:rsidP="003B6C8E">
      <w:pPr>
        <w:jc w:val="both"/>
        <w:rPr>
          <w:rFonts w:ascii="Arial" w:hAnsi="Arial" w:cs="Arial"/>
          <w:sz w:val="20"/>
          <w:szCs w:val="20"/>
        </w:rPr>
      </w:pPr>
    </w:p>
    <w:p w14:paraId="20DD00E9" w14:textId="77777777" w:rsidR="00C84EBB" w:rsidRDefault="00C84EBB" w:rsidP="003B6C8E">
      <w:pPr>
        <w:jc w:val="both"/>
        <w:rPr>
          <w:rFonts w:ascii="Arial" w:hAnsi="Arial" w:cs="Arial"/>
          <w:sz w:val="20"/>
          <w:szCs w:val="20"/>
        </w:rPr>
      </w:pPr>
    </w:p>
    <w:p w14:paraId="3344FBE2" w14:textId="6D4824EF" w:rsidR="00517051" w:rsidRDefault="00517051" w:rsidP="003B6C8E">
      <w:pPr>
        <w:jc w:val="both"/>
      </w:pPr>
    </w:p>
    <w:p w14:paraId="24F24EE2" w14:textId="461F18B4" w:rsidR="00DD4EE3" w:rsidRDefault="00DD4EE3" w:rsidP="003B6C8E">
      <w:pPr>
        <w:jc w:val="both"/>
      </w:pPr>
      <w:r>
        <w:t>__________________________________                                                       ________________________________________</w:t>
      </w:r>
    </w:p>
    <w:p w14:paraId="5B6C8893" w14:textId="433485E6" w:rsidR="00DD4EE3" w:rsidRDefault="00DD4EE3" w:rsidP="003B6C8E">
      <w:pPr>
        <w:jc w:val="both"/>
      </w:pPr>
      <w:r>
        <w:t>Mtro. Alberto de la Luz Socorro Diosdado                                                       C.P. Adriana Margarita Orozco Jiménez</w:t>
      </w:r>
    </w:p>
    <w:p w14:paraId="51019282" w14:textId="75D9E723" w:rsidR="00DD4EE3" w:rsidRDefault="00DD4EE3" w:rsidP="003B6C8E">
      <w:pPr>
        <w:jc w:val="both"/>
      </w:pPr>
      <w:r>
        <w:t xml:space="preserve">Director General del SABES                                                                                </w:t>
      </w:r>
      <w:proofErr w:type="gramStart"/>
      <w:r>
        <w:t>Directora</w:t>
      </w:r>
      <w:proofErr w:type="gramEnd"/>
      <w:r>
        <w:t xml:space="preserve"> de Administración y Finanzas del SABES</w:t>
      </w:r>
    </w:p>
    <w:sectPr w:rsidR="00DD4EE3" w:rsidSect="00A37CA6">
      <w:headerReference w:type="default" r:id="rId12"/>
      <w:footerReference w:type="default" r:id="rId13"/>
      <w:pgSz w:w="15840" w:h="12240" w:orient="landscape"/>
      <w:pgMar w:top="1134" w:right="1417" w:bottom="49"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B0B0" w14:textId="77777777" w:rsidR="004F4581" w:rsidRDefault="004F4581">
      <w:pPr>
        <w:spacing w:after="0" w:line="240" w:lineRule="auto"/>
      </w:pPr>
      <w:r>
        <w:separator/>
      </w:r>
    </w:p>
  </w:endnote>
  <w:endnote w:type="continuationSeparator" w:id="0">
    <w:p w14:paraId="4B6FCD6B" w14:textId="77777777" w:rsidR="004F4581" w:rsidRDefault="004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14F" w14:textId="77777777" w:rsidR="002F0CEA" w:rsidRDefault="000C58A0">
    <w:pPr>
      <w:pStyle w:val="Piedepgina"/>
      <w:jc w:val="right"/>
    </w:pPr>
  </w:p>
  <w:p w14:paraId="577BAD94" w14:textId="77777777" w:rsidR="00723817" w:rsidRDefault="000C58A0" w:rsidP="0072381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289" w14:textId="77777777" w:rsidR="004F4581" w:rsidRDefault="004F4581">
      <w:pPr>
        <w:spacing w:after="0" w:line="240" w:lineRule="auto"/>
      </w:pPr>
      <w:r>
        <w:separator/>
      </w:r>
    </w:p>
  </w:footnote>
  <w:footnote w:type="continuationSeparator" w:id="0">
    <w:p w14:paraId="5FFD0746" w14:textId="77777777" w:rsidR="004F4581" w:rsidRDefault="004F4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3FAC" w14:textId="77777777" w:rsidR="00757C27" w:rsidRDefault="00EB2781">
    <w:pPr>
      <w:pStyle w:val="Encabezado"/>
    </w:pPr>
    <w:r>
      <w:t>SISTEMA AVANZADO DE BACHILLERATO Y EDUCACION SUPERIOR EN 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12"/>
    <w:multiLevelType w:val="hybridMultilevel"/>
    <w:tmpl w:val="390ABD36"/>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43941"/>
    <w:multiLevelType w:val="hybridMultilevel"/>
    <w:tmpl w:val="74069ECA"/>
    <w:lvl w:ilvl="0" w:tplc="0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9D58E1"/>
    <w:multiLevelType w:val="hybridMultilevel"/>
    <w:tmpl w:val="01404546"/>
    <w:lvl w:ilvl="0" w:tplc="080A0009">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6D0B1C"/>
    <w:multiLevelType w:val="hybridMultilevel"/>
    <w:tmpl w:val="92C05A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E448CD"/>
    <w:multiLevelType w:val="hybridMultilevel"/>
    <w:tmpl w:val="14509F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726C46"/>
    <w:multiLevelType w:val="hybridMultilevel"/>
    <w:tmpl w:val="F634C3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C32F33"/>
    <w:multiLevelType w:val="hybridMultilevel"/>
    <w:tmpl w:val="EAA07DBE"/>
    <w:lvl w:ilvl="0" w:tplc="505E756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6F9C016E"/>
    <w:multiLevelType w:val="hybridMultilevel"/>
    <w:tmpl w:val="9870A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5"/>
    <w:rsid w:val="00003A62"/>
    <w:rsid w:val="00006164"/>
    <w:rsid w:val="00014830"/>
    <w:rsid w:val="00014AA0"/>
    <w:rsid w:val="00020CE4"/>
    <w:rsid w:val="00025184"/>
    <w:rsid w:val="00026CF3"/>
    <w:rsid w:val="0003390B"/>
    <w:rsid w:val="00034F88"/>
    <w:rsid w:val="000409C5"/>
    <w:rsid w:val="0004431D"/>
    <w:rsid w:val="00047625"/>
    <w:rsid w:val="000605DD"/>
    <w:rsid w:val="000820C1"/>
    <w:rsid w:val="00096739"/>
    <w:rsid w:val="000A0229"/>
    <w:rsid w:val="000A0527"/>
    <w:rsid w:val="000A0829"/>
    <w:rsid w:val="000A7CDC"/>
    <w:rsid w:val="000C58A0"/>
    <w:rsid w:val="000D10D8"/>
    <w:rsid w:val="000E1ED0"/>
    <w:rsid w:val="000E7746"/>
    <w:rsid w:val="0010106A"/>
    <w:rsid w:val="001154FE"/>
    <w:rsid w:val="00115FFC"/>
    <w:rsid w:val="0011643F"/>
    <w:rsid w:val="001170ED"/>
    <w:rsid w:val="00120258"/>
    <w:rsid w:val="0012030D"/>
    <w:rsid w:val="00124BDF"/>
    <w:rsid w:val="00131C72"/>
    <w:rsid w:val="00133252"/>
    <w:rsid w:val="00141CCF"/>
    <w:rsid w:val="00146DBE"/>
    <w:rsid w:val="001472A1"/>
    <w:rsid w:val="00154051"/>
    <w:rsid w:val="00156245"/>
    <w:rsid w:val="00157D20"/>
    <w:rsid w:val="00165336"/>
    <w:rsid w:val="00167C49"/>
    <w:rsid w:val="00176330"/>
    <w:rsid w:val="001809C1"/>
    <w:rsid w:val="00186CF6"/>
    <w:rsid w:val="001B08A5"/>
    <w:rsid w:val="001C082C"/>
    <w:rsid w:val="001D660B"/>
    <w:rsid w:val="001D75CC"/>
    <w:rsid w:val="001E44A7"/>
    <w:rsid w:val="002126AB"/>
    <w:rsid w:val="00232069"/>
    <w:rsid w:val="0023362E"/>
    <w:rsid w:val="002402C4"/>
    <w:rsid w:val="00250C14"/>
    <w:rsid w:val="00252282"/>
    <w:rsid w:val="0025253C"/>
    <w:rsid w:val="00277435"/>
    <w:rsid w:val="002833D7"/>
    <w:rsid w:val="002B294D"/>
    <w:rsid w:val="002C40E5"/>
    <w:rsid w:val="002C4682"/>
    <w:rsid w:val="002D2C7E"/>
    <w:rsid w:val="002D4D75"/>
    <w:rsid w:val="002D5AB3"/>
    <w:rsid w:val="002E087C"/>
    <w:rsid w:val="002E1484"/>
    <w:rsid w:val="002E3843"/>
    <w:rsid w:val="002E7F02"/>
    <w:rsid w:val="003046C3"/>
    <w:rsid w:val="0031356A"/>
    <w:rsid w:val="00314011"/>
    <w:rsid w:val="00320BF7"/>
    <w:rsid w:val="00323E6E"/>
    <w:rsid w:val="003335E1"/>
    <w:rsid w:val="003364AA"/>
    <w:rsid w:val="00341E57"/>
    <w:rsid w:val="00344055"/>
    <w:rsid w:val="00350801"/>
    <w:rsid w:val="003513E6"/>
    <w:rsid w:val="003603D4"/>
    <w:rsid w:val="00376329"/>
    <w:rsid w:val="003772F3"/>
    <w:rsid w:val="00384874"/>
    <w:rsid w:val="0039000B"/>
    <w:rsid w:val="0039211C"/>
    <w:rsid w:val="00393B28"/>
    <w:rsid w:val="003948FE"/>
    <w:rsid w:val="003A39C0"/>
    <w:rsid w:val="003B2407"/>
    <w:rsid w:val="003B383E"/>
    <w:rsid w:val="003B6C8E"/>
    <w:rsid w:val="003C0035"/>
    <w:rsid w:val="003C006E"/>
    <w:rsid w:val="003C13D3"/>
    <w:rsid w:val="003D0E68"/>
    <w:rsid w:val="003E7429"/>
    <w:rsid w:val="003F3A91"/>
    <w:rsid w:val="003F68F4"/>
    <w:rsid w:val="004049C8"/>
    <w:rsid w:val="00414AF3"/>
    <w:rsid w:val="00416954"/>
    <w:rsid w:val="00420C79"/>
    <w:rsid w:val="00440723"/>
    <w:rsid w:val="004520DB"/>
    <w:rsid w:val="00464F01"/>
    <w:rsid w:val="00470CC9"/>
    <w:rsid w:val="00472FB5"/>
    <w:rsid w:val="0047693E"/>
    <w:rsid w:val="00496F77"/>
    <w:rsid w:val="004A0754"/>
    <w:rsid w:val="004C525C"/>
    <w:rsid w:val="004D37E3"/>
    <w:rsid w:val="004D7EDF"/>
    <w:rsid w:val="004E278C"/>
    <w:rsid w:val="004E6577"/>
    <w:rsid w:val="004E70BC"/>
    <w:rsid w:val="004F0337"/>
    <w:rsid w:val="004F4581"/>
    <w:rsid w:val="00510951"/>
    <w:rsid w:val="005156DC"/>
    <w:rsid w:val="00515DCE"/>
    <w:rsid w:val="00515E77"/>
    <w:rsid w:val="0051642D"/>
    <w:rsid w:val="00517051"/>
    <w:rsid w:val="00536376"/>
    <w:rsid w:val="00547424"/>
    <w:rsid w:val="00551CD7"/>
    <w:rsid w:val="00567AC8"/>
    <w:rsid w:val="005703CC"/>
    <w:rsid w:val="005707AB"/>
    <w:rsid w:val="00573253"/>
    <w:rsid w:val="005844F7"/>
    <w:rsid w:val="00593889"/>
    <w:rsid w:val="00594806"/>
    <w:rsid w:val="005A6550"/>
    <w:rsid w:val="005B15F1"/>
    <w:rsid w:val="005B3D99"/>
    <w:rsid w:val="005B42B8"/>
    <w:rsid w:val="005D216A"/>
    <w:rsid w:val="005D6D80"/>
    <w:rsid w:val="005E3AF2"/>
    <w:rsid w:val="005E6505"/>
    <w:rsid w:val="005F2FD6"/>
    <w:rsid w:val="005F3F90"/>
    <w:rsid w:val="006078E4"/>
    <w:rsid w:val="00607AA2"/>
    <w:rsid w:val="00614D52"/>
    <w:rsid w:val="00630C3E"/>
    <w:rsid w:val="00642C4C"/>
    <w:rsid w:val="006446B2"/>
    <w:rsid w:val="00666C7C"/>
    <w:rsid w:val="0067127A"/>
    <w:rsid w:val="00676F45"/>
    <w:rsid w:val="0068684A"/>
    <w:rsid w:val="006A296F"/>
    <w:rsid w:val="006A58E8"/>
    <w:rsid w:val="006B0AF3"/>
    <w:rsid w:val="006B2495"/>
    <w:rsid w:val="006C3BAA"/>
    <w:rsid w:val="006D35B5"/>
    <w:rsid w:val="006D46D3"/>
    <w:rsid w:val="006D5AAF"/>
    <w:rsid w:val="006D7841"/>
    <w:rsid w:val="006E47CD"/>
    <w:rsid w:val="0070461C"/>
    <w:rsid w:val="00705ADA"/>
    <w:rsid w:val="00715B4D"/>
    <w:rsid w:val="00717300"/>
    <w:rsid w:val="00724583"/>
    <w:rsid w:val="007278A7"/>
    <w:rsid w:val="00731F1B"/>
    <w:rsid w:val="0073591E"/>
    <w:rsid w:val="00737876"/>
    <w:rsid w:val="00760374"/>
    <w:rsid w:val="0076583A"/>
    <w:rsid w:val="00772E52"/>
    <w:rsid w:val="00774087"/>
    <w:rsid w:val="00780D42"/>
    <w:rsid w:val="00790024"/>
    <w:rsid w:val="00791183"/>
    <w:rsid w:val="0079224A"/>
    <w:rsid w:val="007A551D"/>
    <w:rsid w:val="007A7BFB"/>
    <w:rsid w:val="007B3339"/>
    <w:rsid w:val="007B5AC4"/>
    <w:rsid w:val="007B6015"/>
    <w:rsid w:val="007C11F6"/>
    <w:rsid w:val="007C3DB7"/>
    <w:rsid w:val="007F1FEA"/>
    <w:rsid w:val="007F3564"/>
    <w:rsid w:val="00806651"/>
    <w:rsid w:val="00810E6B"/>
    <w:rsid w:val="00814D4B"/>
    <w:rsid w:val="00816CBF"/>
    <w:rsid w:val="00821867"/>
    <w:rsid w:val="00822BA5"/>
    <w:rsid w:val="008253EB"/>
    <w:rsid w:val="00827CFF"/>
    <w:rsid w:val="00832221"/>
    <w:rsid w:val="00832A6C"/>
    <w:rsid w:val="00835285"/>
    <w:rsid w:val="008368F7"/>
    <w:rsid w:val="00845058"/>
    <w:rsid w:val="00845660"/>
    <w:rsid w:val="008528D1"/>
    <w:rsid w:val="008534E3"/>
    <w:rsid w:val="00861225"/>
    <w:rsid w:val="00880480"/>
    <w:rsid w:val="008868AD"/>
    <w:rsid w:val="00886EF1"/>
    <w:rsid w:val="00891CF3"/>
    <w:rsid w:val="0089690A"/>
    <w:rsid w:val="008A55F2"/>
    <w:rsid w:val="008A76C1"/>
    <w:rsid w:val="008C3553"/>
    <w:rsid w:val="008E5895"/>
    <w:rsid w:val="008F3407"/>
    <w:rsid w:val="00910DC5"/>
    <w:rsid w:val="009134D1"/>
    <w:rsid w:val="00915516"/>
    <w:rsid w:val="00917282"/>
    <w:rsid w:val="0092151F"/>
    <w:rsid w:val="0093036D"/>
    <w:rsid w:val="00930A79"/>
    <w:rsid w:val="00935CB6"/>
    <w:rsid w:val="00941A9B"/>
    <w:rsid w:val="00941BCA"/>
    <w:rsid w:val="009445AD"/>
    <w:rsid w:val="009473BD"/>
    <w:rsid w:val="009553F6"/>
    <w:rsid w:val="009559F6"/>
    <w:rsid w:val="009661A0"/>
    <w:rsid w:val="009702E1"/>
    <w:rsid w:val="00972973"/>
    <w:rsid w:val="0097315B"/>
    <w:rsid w:val="00973FB6"/>
    <w:rsid w:val="00976A37"/>
    <w:rsid w:val="00977E5C"/>
    <w:rsid w:val="00985FD5"/>
    <w:rsid w:val="009904E0"/>
    <w:rsid w:val="0099052F"/>
    <w:rsid w:val="0099295F"/>
    <w:rsid w:val="009973C6"/>
    <w:rsid w:val="009978F8"/>
    <w:rsid w:val="009A422E"/>
    <w:rsid w:val="009A4663"/>
    <w:rsid w:val="009B754A"/>
    <w:rsid w:val="009C17F9"/>
    <w:rsid w:val="009C5733"/>
    <w:rsid w:val="009D2A07"/>
    <w:rsid w:val="009D6397"/>
    <w:rsid w:val="009E3862"/>
    <w:rsid w:val="009E6B2C"/>
    <w:rsid w:val="00A03CCC"/>
    <w:rsid w:val="00A04373"/>
    <w:rsid w:val="00A1585A"/>
    <w:rsid w:val="00A16C6F"/>
    <w:rsid w:val="00A230EC"/>
    <w:rsid w:val="00A253DB"/>
    <w:rsid w:val="00A26E79"/>
    <w:rsid w:val="00A3301F"/>
    <w:rsid w:val="00A37CA6"/>
    <w:rsid w:val="00A4386E"/>
    <w:rsid w:val="00A46111"/>
    <w:rsid w:val="00A52E60"/>
    <w:rsid w:val="00A55184"/>
    <w:rsid w:val="00A56790"/>
    <w:rsid w:val="00A60B8B"/>
    <w:rsid w:val="00A65CD0"/>
    <w:rsid w:val="00A7616A"/>
    <w:rsid w:val="00A81C3F"/>
    <w:rsid w:val="00A9091A"/>
    <w:rsid w:val="00A91F3D"/>
    <w:rsid w:val="00A95594"/>
    <w:rsid w:val="00A968C9"/>
    <w:rsid w:val="00AA0C5C"/>
    <w:rsid w:val="00AA1C8E"/>
    <w:rsid w:val="00AA3AEB"/>
    <w:rsid w:val="00AB12E8"/>
    <w:rsid w:val="00AB4944"/>
    <w:rsid w:val="00AB6A65"/>
    <w:rsid w:val="00AC14F4"/>
    <w:rsid w:val="00AC53B3"/>
    <w:rsid w:val="00AC754B"/>
    <w:rsid w:val="00AD35C7"/>
    <w:rsid w:val="00AD5299"/>
    <w:rsid w:val="00AE440F"/>
    <w:rsid w:val="00AF17BE"/>
    <w:rsid w:val="00AF4F70"/>
    <w:rsid w:val="00AF7CB3"/>
    <w:rsid w:val="00B01AF3"/>
    <w:rsid w:val="00B03895"/>
    <w:rsid w:val="00B056A8"/>
    <w:rsid w:val="00B10162"/>
    <w:rsid w:val="00B17A9B"/>
    <w:rsid w:val="00B2221B"/>
    <w:rsid w:val="00B24D09"/>
    <w:rsid w:val="00B2788C"/>
    <w:rsid w:val="00B37818"/>
    <w:rsid w:val="00B40CE8"/>
    <w:rsid w:val="00B42461"/>
    <w:rsid w:val="00B43F65"/>
    <w:rsid w:val="00B46B8E"/>
    <w:rsid w:val="00B4702F"/>
    <w:rsid w:val="00B6214F"/>
    <w:rsid w:val="00B67E4F"/>
    <w:rsid w:val="00B711A5"/>
    <w:rsid w:val="00B8080A"/>
    <w:rsid w:val="00B966BD"/>
    <w:rsid w:val="00BA1CAB"/>
    <w:rsid w:val="00BB3410"/>
    <w:rsid w:val="00BB4C70"/>
    <w:rsid w:val="00BB4E15"/>
    <w:rsid w:val="00BB50BC"/>
    <w:rsid w:val="00BC30B3"/>
    <w:rsid w:val="00BD1203"/>
    <w:rsid w:val="00BD27F8"/>
    <w:rsid w:val="00BD3C27"/>
    <w:rsid w:val="00BD4E25"/>
    <w:rsid w:val="00BE1473"/>
    <w:rsid w:val="00BE150B"/>
    <w:rsid w:val="00BE27E3"/>
    <w:rsid w:val="00BF690C"/>
    <w:rsid w:val="00C27BF1"/>
    <w:rsid w:val="00C31E5B"/>
    <w:rsid w:val="00C37895"/>
    <w:rsid w:val="00C40588"/>
    <w:rsid w:val="00C55F89"/>
    <w:rsid w:val="00C5602C"/>
    <w:rsid w:val="00C57A1B"/>
    <w:rsid w:val="00C73180"/>
    <w:rsid w:val="00C847B2"/>
    <w:rsid w:val="00C84EBB"/>
    <w:rsid w:val="00C90BC0"/>
    <w:rsid w:val="00C917D1"/>
    <w:rsid w:val="00C9246D"/>
    <w:rsid w:val="00C94C3C"/>
    <w:rsid w:val="00C967EE"/>
    <w:rsid w:val="00CC5E76"/>
    <w:rsid w:val="00CD565B"/>
    <w:rsid w:val="00CF688D"/>
    <w:rsid w:val="00D1283C"/>
    <w:rsid w:val="00D14769"/>
    <w:rsid w:val="00D14956"/>
    <w:rsid w:val="00D151F3"/>
    <w:rsid w:val="00D15F1D"/>
    <w:rsid w:val="00D354E5"/>
    <w:rsid w:val="00D412C7"/>
    <w:rsid w:val="00D44DE1"/>
    <w:rsid w:val="00D50B7D"/>
    <w:rsid w:val="00D530ED"/>
    <w:rsid w:val="00D57B02"/>
    <w:rsid w:val="00D606D0"/>
    <w:rsid w:val="00D6107E"/>
    <w:rsid w:val="00D64919"/>
    <w:rsid w:val="00D674F7"/>
    <w:rsid w:val="00D67B47"/>
    <w:rsid w:val="00D84BB5"/>
    <w:rsid w:val="00D86597"/>
    <w:rsid w:val="00D8729B"/>
    <w:rsid w:val="00D95F5A"/>
    <w:rsid w:val="00DA2ECA"/>
    <w:rsid w:val="00DA5648"/>
    <w:rsid w:val="00DB29F3"/>
    <w:rsid w:val="00DB3178"/>
    <w:rsid w:val="00DB5E64"/>
    <w:rsid w:val="00DC1228"/>
    <w:rsid w:val="00DC4C59"/>
    <w:rsid w:val="00DC5281"/>
    <w:rsid w:val="00DC5328"/>
    <w:rsid w:val="00DC5D3B"/>
    <w:rsid w:val="00DC5E9C"/>
    <w:rsid w:val="00DD4CFB"/>
    <w:rsid w:val="00DD4EE3"/>
    <w:rsid w:val="00DE4235"/>
    <w:rsid w:val="00DE6304"/>
    <w:rsid w:val="00E33BF4"/>
    <w:rsid w:val="00E36E4C"/>
    <w:rsid w:val="00E51DC0"/>
    <w:rsid w:val="00E6779D"/>
    <w:rsid w:val="00E859B5"/>
    <w:rsid w:val="00E97A8B"/>
    <w:rsid w:val="00EA20AD"/>
    <w:rsid w:val="00EA5280"/>
    <w:rsid w:val="00EB15EE"/>
    <w:rsid w:val="00EB1975"/>
    <w:rsid w:val="00EB2781"/>
    <w:rsid w:val="00EB3AE2"/>
    <w:rsid w:val="00EB5828"/>
    <w:rsid w:val="00EB7A5F"/>
    <w:rsid w:val="00EC6618"/>
    <w:rsid w:val="00EC7837"/>
    <w:rsid w:val="00ED53B5"/>
    <w:rsid w:val="00ED5D30"/>
    <w:rsid w:val="00ED7D78"/>
    <w:rsid w:val="00EE3DAE"/>
    <w:rsid w:val="00EE4982"/>
    <w:rsid w:val="00EE71E0"/>
    <w:rsid w:val="00F109D3"/>
    <w:rsid w:val="00F12AB1"/>
    <w:rsid w:val="00F238A9"/>
    <w:rsid w:val="00F339C9"/>
    <w:rsid w:val="00F41ADF"/>
    <w:rsid w:val="00F42889"/>
    <w:rsid w:val="00F4296E"/>
    <w:rsid w:val="00F44555"/>
    <w:rsid w:val="00F653E6"/>
    <w:rsid w:val="00F71D06"/>
    <w:rsid w:val="00F913FB"/>
    <w:rsid w:val="00F93F31"/>
    <w:rsid w:val="00FB0AF6"/>
    <w:rsid w:val="00FC1A9D"/>
    <w:rsid w:val="00FC2693"/>
    <w:rsid w:val="00FD6041"/>
    <w:rsid w:val="00FD6185"/>
    <w:rsid w:val="00FE227F"/>
    <w:rsid w:val="00FE3A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60C4"/>
  <w15:chartTrackingRefBased/>
  <w15:docId w15:val="{B389DE33-05B7-4F0B-9604-ED781DB8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62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625"/>
    <w:pPr>
      <w:ind w:left="720"/>
      <w:contextualSpacing/>
    </w:pPr>
  </w:style>
  <w:style w:type="paragraph" w:styleId="Encabezado">
    <w:name w:val="header"/>
    <w:basedOn w:val="Normal"/>
    <w:link w:val="EncabezadoCar"/>
    <w:uiPriority w:val="99"/>
    <w:unhideWhenUsed/>
    <w:rsid w:val="00047625"/>
    <w:pPr>
      <w:tabs>
        <w:tab w:val="center" w:pos="4419"/>
        <w:tab w:val="right" w:pos="8838"/>
      </w:tabs>
    </w:pPr>
  </w:style>
  <w:style w:type="character" w:customStyle="1" w:styleId="EncabezadoCar">
    <w:name w:val="Encabezado Car"/>
    <w:basedOn w:val="Fuentedeprrafopredeter"/>
    <w:link w:val="Encabezado"/>
    <w:uiPriority w:val="99"/>
    <w:rsid w:val="00047625"/>
    <w:rPr>
      <w:rFonts w:ascii="Calibri" w:eastAsia="Calibri" w:hAnsi="Calibri" w:cs="Times New Roman"/>
    </w:rPr>
  </w:style>
  <w:style w:type="paragraph" w:styleId="Piedepgina">
    <w:name w:val="footer"/>
    <w:basedOn w:val="Normal"/>
    <w:link w:val="PiedepginaCar"/>
    <w:uiPriority w:val="99"/>
    <w:unhideWhenUsed/>
    <w:rsid w:val="00047625"/>
    <w:pPr>
      <w:tabs>
        <w:tab w:val="center" w:pos="4419"/>
        <w:tab w:val="right" w:pos="8838"/>
      </w:tabs>
    </w:pPr>
  </w:style>
  <w:style w:type="character" w:customStyle="1" w:styleId="PiedepginaCar">
    <w:name w:val="Pie de página Car"/>
    <w:basedOn w:val="Fuentedeprrafopredeter"/>
    <w:link w:val="Piedepgina"/>
    <w:uiPriority w:val="99"/>
    <w:rsid w:val="00047625"/>
    <w:rPr>
      <w:rFonts w:ascii="Calibri" w:eastAsia="Calibri" w:hAnsi="Calibri" w:cs="Times New Roman"/>
    </w:rPr>
  </w:style>
  <w:style w:type="paragraph" w:styleId="Textodeglobo">
    <w:name w:val="Balloon Text"/>
    <w:basedOn w:val="Normal"/>
    <w:link w:val="TextodegloboCar"/>
    <w:uiPriority w:val="99"/>
    <w:semiHidden/>
    <w:unhideWhenUsed/>
    <w:rsid w:val="00047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625"/>
    <w:rPr>
      <w:rFonts w:ascii="Segoe UI" w:eastAsia="Calibri" w:hAnsi="Segoe UI" w:cs="Segoe UI"/>
      <w:sz w:val="18"/>
      <w:szCs w:val="18"/>
    </w:rPr>
  </w:style>
  <w:style w:type="paragraph" w:styleId="NormalWeb">
    <w:name w:val="Normal (Web)"/>
    <w:basedOn w:val="Normal"/>
    <w:uiPriority w:val="99"/>
    <w:semiHidden/>
    <w:unhideWhenUsed/>
    <w:rsid w:val="00DD4EE3"/>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D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0113">
      <w:bodyDiv w:val="1"/>
      <w:marLeft w:val="0"/>
      <w:marRight w:val="0"/>
      <w:marTop w:val="0"/>
      <w:marBottom w:val="0"/>
      <w:divBdr>
        <w:top w:val="none" w:sz="0" w:space="0" w:color="auto"/>
        <w:left w:val="none" w:sz="0" w:space="0" w:color="auto"/>
        <w:bottom w:val="none" w:sz="0" w:space="0" w:color="auto"/>
        <w:right w:val="none" w:sz="0" w:space="0" w:color="auto"/>
      </w:divBdr>
    </w:div>
    <w:div w:id="504521080">
      <w:bodyDiv w:val="1"/>
      <w:marLeft w:val="0"/>
      <w:marRight w:val="0"/>
      <w:marTop w:val="0"/>
      <w:marBottom w:val="0"/>
      <w:divBdr>
        <w:top w:val="none" w:sz="0" w:space="0" w:color="auto"/>
        <w:left w:val="none" w:sz="0" w:space="0" w:color="auto"/>
        <w:bottom w:val="none" w:sz="0" w:space="0" w:color="auto"/>
        <w:right w:val="none" w:sz="0" w:space="0" w:color="auto"/>
      </w:divBdr>
    </w:div>
    <w:div w:id="767114489">
      <w:bodyDiv w:val="1"/>
      <w:marLeft w:val="0"/>
      <w:marRight w:val="0"/>
      <w:marTop w:val="0"/>
      <w:marBottom w:val="0"/>
      <w:divBdr>
        <w:top w:val="none" w:sz="0" w:space="0" w:color="auto"/>
        <w:left w:val="none" w:sz="0" w:space="0" w:color="auto"/>
        <w:bottom w:val="none" w:sz="0" w:space="0" w:color="auto"/>
        <w:right w:val="none" w:sz="0" w:space="0" w:color="auto"/>
      </w:divBdr>
    </w:div>
    <w:div w:id="1046416463">
      <w:bodyDiv w:val="1"/>
      <w:marLeft w:val="0"/>
      <w:marRight w:val="0"/>
      <w:marTop w:val="0"/>
      <w:marBottom w:val="0"/>
      <w:divBdr>
        <w:top w:val="none" w:sz="0" w:space="0" w:color="auto"/>
        <w:left w:val="none" w:sz="0" w:space="0" w:color="auto"/>
        <w:bottom w:val="none" w:sz="0" w:space="0" w:color="auto"/>
        <w:right w:val="none" w:sz="0" w:space="0" w:color="auto"/>
      </w:divBdr>
    </w:div>
    <w:div w:id="1047024708">
      <w:bodyDiv w:val="1"/>
      <w:marLeft w:val="0"/>
      <w:marRight w:val="0"/>
      <w:marTop w:val="0"/>
      <w:marBottom w:val="0"/>
      <w:divBdr>
        <w:top w:val="none" w:sz="0" w:space="0" w:color="auto"/>
        <w:left w:val="none" w:sz="0" w:space="0" w:color="auto"/>
        <w:bottom w:val="none" w:sz="0" w:space="0" w:color="auto"/>
        <w:right w:val="none" w:sz="0" w:space="0" w:color="auto"/>
      </w:divBdr>
    </w:div>
    <w:div w:id="1118647075">
      <w:bodyDiv w:val="1"/>
      <w:marLeft w:val="0"/>
      <w:marRight w:val="0"/>
      <w:marTop w:val="0"/>
      <w:marBottom w:val="0"/>
      <w:divBdr>
        <w:top w:val="none" w:sz="0" w:space="0" w:color="auto"/>
        <w:left w:val="none" w:sz="0" w:space="0" w:color="auto"/>
        <w:bottom w:val="none" w:sz="0" w:space="0" w:color="auto"/>
        <w:right w:val="none" w:sz="0" w:space="0" w:color="auto"/>
      </w:divBdr>
    </w:div>
    <w:div w:id="1198935197">
      <w:bodyDiv w:val="1"/>
      <w:marLeft w:val="0"/>
      <w:marRight w:val="0"/>
      <w:marTop w:val="0"/>
      <w:marBottom w:val="0"/>
      <w:divBdr>
        <w:top w:val="none" w:sz="0" w:space="0" w:color="auto"/>
        <w:left w:val="none" w:sz="0" w:space="0" w:color="auto"/>
        <w:bottom w:val="none" w:sz="0" w:space="0" w:color="auto"/>
        <w:right w:val="none" w:sz="0" w:space="0" w:color="auto"/>
      </w:divBdr>
    </w:div>
    <w:div w:id="1383867010">
      <w:bodyDiv w:val="1"/>
      <w:marLeft w:val="0"/>
      <w:marRight w:val="0"/>
      <w:marTop w:val="0"/>
      <w:marBottom w:val="0"/>
      <w:divBdr>
        <w:top w:val="none" w:sz="0" w:space="0" w:color="auto"/>
        <w:left w:val="none" w:sz="0" w:space="0" w:color="auto"/>
        <w:bottom w:val="none" w:sz="0" w:space="0" w:color="auto"/>
        <w:right w:val="none" w:sz="0" w:space="0" w:color="auto"/>
      </w:divBdr>
    </w:div>
    <w:div w:id="1385325538">
      <w:bodyDiv w:val="1"/>
      <w:marLeft w:val="0"/>
      <w:marRight w:val="0"/>
      <w:marTop w:val="0"/>
      <w:marBottom w:val="0"/>
      <w:divBdr>
        <w:top w:val="none" w:sz="0" w:space="0" w:color="auto"/>
        <w:left w:val="none" w:sz="0" w:space="0" w:color="auto"/>
        <w:bottom w:val="none" w:sz="0" w:space="0" w:color="auto"/>
        <w:right w:val="none" w:sz="0" w:space="0" w:color="auto"/>
      </w:divBdr>
    </w:div>
    <w:div w:id="1424061635">
      <w:bodyDiv w:val="1"/>
      <w:marLeft w:val="0"/>
      <w:marRight w:val="0"/>
      <w:marTop w:val="0"/>
      <w:marBottom w:val="0"/>
      <w:divBdr>
        <w:top w:val="none" w:sz="0" w:space="0" w:color="auto"/>
        <w:left w:val="none" w:sz="0" w:space="0" w:color="auto"/>
        <w:bottom w:val="none" w:sz="0" w:space="0" w:color="auto"/>
        <w:right w:val="none" w:sz="0" w:space="0" w:color="auto"/>
      </w:divBdr>
    </w:div>
    <w:div w:id="19229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90F4-39BC-4491-BB59-781D9C65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2326</Words>
  <Characters>12796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ESPINOS MA DE LOURDES</dc:creator>
  <cp:keywords/>
  <dc:description/>
  <cp:lastModifiedBy>ESPINOZA CUELLAR BERTHA</cp:lastModifiedBy>
  <cp:revision>2</cp:revision>
  <cp:lastPrinted>2023-10-24T17:58:00Z</cp:lastPrinted>
  <dcterms:created xsi:type="dcterms:W3CDTF">2025-01-24T22:07:00Z</dcterms:created>
  <dcterms:modified xsi:type="dcterms:W3CDTF">2025-01-24T22:07:00Z</dcterms:modified>
</cp:coreProperties>
</file>