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A37CA6" w:rsidRDefault="00A37CA6"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proofErr w:type="gramStart"/>
      <w:r w:rsidRPr="00777DCA">
        <w:rPr>
          <w:rFonts w:ascii="Arial" w:hAnsi="Arial" w:cs="Arial"/>
          <w:sz w:val="20"/>
          <w:szCs w:val="20"/>
          <w:u w:val="single"/>
        </w:rPr>
        <w:t>Octubre</w:t>
      </w:r>
      <w:proofErr w:type="gramEnd"/>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lastRenderedPageBreak/>
        <w:t>b) Principales cambios en su estructura (interna históricamente)</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w:t>
      </w:r>
      <w:r w:rsidR="00BB4E15" w:rsidRPr="0030393A">
        <w:rPr>
          <w:rFonts w:ascii="Arial" w:hAnsi="Arial" w:cs="Arial"/>
          <w:sz w:val="20"/>
          <w:szCs w:val="20"/>
        </w:rPr>
        <w:t>mencionar,</w:t>
      </w:r>
      <w:r w:rsidRPr="0030393A">
        <w:rPr>
          <w:rFonts w:ascii="Arial" w:hAnsi="Arial" w:cs="Arial"/>
          <w:sz w:val="20"/>
          <w:szCs w:val="20"/>
        </w:rPr>
        <w:t xml:space="preserve">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201</w:t>
      </w:r>
      <w:r w:rsidR="009473BD">
        <w:rPr>
          <w:rFonts w:ascii="Arial" w:hAnsi="Arial" w:cs="Arial"/>
          <w:sz w:val="20"/>
          <w:szCs w:val="20"/>
          <w:u w:val="single"/>
        </w:rPr>
        <w:t>9</w:t>
      </w:r>
      <w:r w:rsidR="00047625" w:rsidRPr="00343B66">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A37CA6" w:rsidRDefault="00047625" w:rsidP="00047625">
      <w:pPr>
        <w:jc w:val="both"/>
        <w:rPr>
          <w:rFonts w:ascii="Arial" w:hAnsi="Arial" w:cs="Arial"/>
          <w:sz w:val="20"/>
          <w:szCs w:val="20"/>
        </w:rPr>
      </w:pP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proofErr w:type="gramStart"/>
      <w:r>
        <w:rPr>
          <w:rFonts w:ascii="Arial" w:hAnsi="Arial" w:cs="Arial"/>
          <w:sz w:val="20"/>
          <w:szCs w:val="20"/>
          <w:u w:val="single"/>
        </w:rPr>
        <w:t>ejemplo</w:t>
      </w:r>
      <w:proofErr w:type="gramEnd"/>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 xml:space="preserve">vez estén implementando </w:t>
      </w:r>
      <w:proofErr w:type="gramStart"/>
      <w:r w:rsidR="00BB4E15">
        <w:rPr>
          <w:rFonts w:ascii="Arial" w:hAnsi="Arial" w:cs="Arial"/>
          <w:sz w:val="20"/>
          <w:szCs w:val="20"/>
        </w:rPr>
        <w:t>la base</w:t>
      </w:r>
      <w:r w:rsidR="0047693E">
        <w:rPr>
          <w:rFonts w:ascii="Arial" w:hAnsi="Arial" w:cs="Arial"/>
          <w:sz w:val="20"/>
          <w:szCs w:val="20"/>
        </w:rPr>
        <w:t xml:space="preserve"> </w:t>
      </w:r>
      <w:r w:rsidRPr="0030393A">
        <w:rPr>
          <w:rFonts w:ascii="Arial" w:hAnsi="Arial" w:cs="Arial"/>
          <w:sz w:val="20"/>
          <w:szCs w:val="20"/>
        </w:rPr>
        <w:t>devengado</w:t>
      </w:r>
      <w:proofErr w:type="gramEnd"/>
      <w:r w:rsidRPr="0030393A">
        <w:rPr>
          <w:rFonts w:ascii="Arial" w:hAnsi="Arial" w:cs="Arial"/>
          <w:sz w:val="20"/>
          <w:szCs w:val="20"/>
        </w:rPr>
        <w:t xml:space="preserve">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DB29F3" w:rsidP="00047625">
      <w:pPr>
        <w:jc w:val="both"/>
        <w:rPr>
          <w:rFonts w:ascii="Arial" w:hAnsi="Arial" w:cs="Arial"/>
          <w:sz w:val="20"/>
          <w:szCs w:val="20"/>
          <w:u w:val="single"/>
        </w:rPr>
      </w:pPr>
      <w:r>
        <w:rPr>
          <w:rFonts w:ascii="Arial" w:hAnsi="Arial" w:cs="Arial"/>
          <w:sz w:val="20"/>
          <w:szCs w:val="20"/>
          <w:u w:val="single"/>
        </w:rPr>
        <w:t>No se cuenta con cálculo de reserva actuarial para 2019</w:t>
      </w:r>
      <w:r w:rsidR="00047625" w:rsidRPr="00710CE4">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D1283C">
        <w:rPr>
          <w:rFonts w:ascii="Arial" w:hAnsi="Arial" w:cs="Arial"/>
          <w:sz w:val="20"/>
          <w:szCs w:val="20"/>
          <w:u w:val="single"/>
          <w:lang w:val="es-ES"/>
        </w:rPr>
        <w:t>Monto para el Ejercicio 201</w:t>
      </w:r>
      <w:r w:rsidR="004049C8">
        <w:rPr>
          <w:rFonts w:ascii="Arial" w:hAnsi="Arial" w:cs="Arial"/>
          <w:sz w:val="20"/>
          <w:szCs w:val="20"/>
          <w:u w:val="single"/>
          <w:lang w:val="es-ES"/>
        </w:rPr>
        <w:t>9</w:t>
      </w:r>
      <w:r w:rsidRPr="00D1283C">
        <w:rPr>
          <w:rFonts w:ascii="Arial" w:hAnsi="Arial" w:cs="Arial"/>
          <w:sz w:val="20"/>
          <w:szCs w:val="20"/>
          <w:u w:val="single"/>
          <w:lang w:val="es-ES"/>
        </w:rPr>
        <w:t xml:space="preserve"> $</w:t>
      </w:r>
      <w:r w:rsidR="0047693E">
        <w:rPr>
          <w:rFonts w:ascii="Arial" w:hAnsi="Arial" w:cs="Arial"/>
          <w:sz w:val="20"/>
          <w:szCs w:val="20"/>
          <w:u w:val="single"/>
          <w:lang w:val="es-ES"/>
        </w:rPr>
        <w:t>16,775,405.00</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DB29F3" w:rsidP="00047625">
      <w:pPr>
        <w:jc w:val="both"/>
        <w:rPr>
          <w:rFonts w:ascii="Arial" w:hAnsi="Arial" w:cs="Arial"/>
          <w:sz w:val="20"/>
          <w:szCs w:val="20"/>
          <w:u w:val="single"/>
          <w:lang w:val="es-ES"/>
        </w:rPr>
      </w:pPr>
      <w:r>
        <w:rPr>
          <w:rFonts w:ascii="Arial" w:hAnsi="Arial" w:cs="Arial"/>
          <w:sz w:val="20"/>
          <w:szCs w:val="20"/>
          <w:u w:val="single"/>
          <w:lang w:val="es-ES"/>
        </w:rPr>
        <w:t>Objeto de su creación: Estimación de reserva para cuentas incobrables</w:t>
      </w:r>
      <w:r w:rsidR="00047625" w:rsidRPr="00A0662A">
        <w:rPr>
          <w:rFonts w:ascii="Arial" w:hAnsi="Arial" w:cs="Arial"/>
          <w:sz w:val="20"/>
          <w:szCs w:val="20"/>
          <w:u w:val="single"/>
          <w:lang w:val="es-ES"/>
        </w:rPr>
        <w:t xml:space="preserve"> </w:t>
      </w:r>
    </w:p>
    <w:p w:rsidR="00DB29F3" w:rsidRDefault="00DB29F3" w:rsidP="00047625">
      <w:pPr>
        <w:jc w:val="both"/>
        <w:rPr>
          <w:rFonts w:ascii="Arial" w:hAnsi="Arial" w:cs="Arial"/>
          <w:sz w:val="20"/>
          <w:szCs w:val="20"/>
          <w:u w:val="single"/>
          <w:lang w:val="es-ES"/>
        </w:rPr>
      </w:pPr>
      <w:r>
        <w:rPr>
          <w:rFonts w:ascii="Arial" w:hAnsi="Arial" w:cs="Arial"/>
          <w:sz w:val="20"/>
          <w:szCs w:val="20"/>
          <w:u w:val="single"/>
          <w:lang w:val="es-ES"/>
        </w:rPr>
        <w:t>Monto: $</w:t>
      </w:r>
      <w:r w:rsidRPr="00DB29F3">
        <w:rPr>
          <w:rFonts w:ascii="Arial" w:hAnsi="Arial" w:cs="Arial"/>
          <w:sz w:val="20"/>
          <w:szCs w:val="20"/>
          <w:u w:val="single"/>
          <w:lang w:val="es-ES"/>
        </w:rPr>
        <w:t>37,337.00</w:t>
      </w:r>
    </w:p>
    <w:p w:rsidR="00DB29F3" w:rsidRPr="00A0662A"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Plazo: </w:t>
      </w:r>
      <w:r w:rsidR="003A39C0">
        <w:rPr>
          <w:rFonts w:ascii="Arial" w:hAnsi="Arial" w:cs="Arial"/>
          <w:sz w:val="20"/>
          <w:szCs w:val="20"/>
          <w:u w:val="single"/>
          <w:lang w:val="es-ES"/>
        </w:rPr>
        <w:t>C</w:t>
      </w:r>
      <w:r>
        <w:rPr>
          <w:rFonts w:ascii="Arial" w:hAnsi="Arial" w:cs="Arial"/>
          <w:sz w:val="20"/>
          <w:szCs w:val="20"/>
          <w:u w:val="single"/>
          <w:lang w:val="es-ES"/>
        </w:rPr>
        <w:t>uando lo autorice el Consejo Directivo</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A39C0" w:rsidRDefault="003A39C0" w:rsidP="003A39C0">
      <w:pPr>
        <w:jc w:val="both"/>
        <w:rPr>
          <w:rFonts w:ascii="Arial" w:hAnsi="Arial" w:cs="Arial"/>
          <w:sz w:val="20"/>
          <w:szCs w:val="20"/>
          <w:u w:val="single"/>
          <w:lang w:val="es-ES"/>
        </w:rPr>
      </w:pPr>
      <w:r>
        <w:rPr>
          <w:rFonts w:ascii="Arial" w:hAnsi="Arial" w:cs="Arial"/>
          <w:sz w:val="20"/>
          <w:szCs w:val="20"/>
          <w:u w:val="single"/>
          <w:lang w:val="es-ES"/>
        </w:rPr>
        <w:t>Estimación de reserva para cuentas incobrables</w:t>
      </w:r>
      <w:r w:rsidRPr="00A0662A">
        <w:rPr>
          <w:rFonts w:ascii="Arial" w:hAnsi="Arial" w:cs="Arial"/>
          <w:sz w:val="20"/>
          <w:szCs w:val="20"/>
          <w:u w:val="single"/>
          <w:lang w:val="es-ES"/>
        </w:rPr>
        <w:t xml:space="preserve"> </w:t>
      </w:r>
    </w:p>
    <w:p w:rsidR="003A39C0" w:rsidRDefault="003A39C0" w:rsidP="003A39C0">
      <w:pPr>
        <w:jc w:val="both"/>
        <w:rPr>
          <w:rFonts w:ascii="Arial" w:hAnsi="Arial" w:cs="Arial"/>
          <w:sz w:val="20"/>
          <w:szCs w:val="20"/>
          <w:u w:val="single"/>
          <w:lang w:val="es-ES"/>
        </w:rPr>
      </w:pPr>
      <w:r>
        <w:rPr>
          <w:rFonts w:ascii="Arial" w:hAnsi="Arial" w:cs="Arial"/>
          <w:sz w:val="20"/>
          <w:szCs w:val="20"/>
          <w:u w:val="single"/>
          <w:lang w:val="es-ES"/>
        </w:rPr>
        <w:t>Monto: $</w:t>
      </w:r>
      <w:r w:rsidR="00A16C6F">
        <w:rPr>
          <w:rFonts w:ascii="Arial" w:hAnsi="Arial" w:cs="Arial"/>
          <w:sz w:val="20"/>
          <w:szCs w:val="20"/>
          <w:u w:val="single"/>
          <w:lang w:val="es-ES"/>
        </w:rPr>
        <w:t>0</w:t>
      </w:r>
      <w:r w:rsidRPr="00DB29F3">
        <w:rPr>
          <w:rFonts w:ascii="Arial" w:hAnsi="Arial" w:cs="Arial"/>
          <w:sz w:val="20"/>
          <w:szCs w:val="20"/>
          <w:u w:val="single"/>
          <w:lang w:val="es-ES"/>
        </w:rPr>
        <w:t>.00</w:t>
      </w:r>
      <w:r w:rsidR="005707AB">
        <w:rPr>
          <w:rFonts w:ascii="Arial" w:hAnsi="Arial" w:cs="Arial"/>
          <w:sz w:val="20"/>
          <w:szCs w:val="20"/>
          <w:u w:val="single"/>
          <w:lang w:val="es-ES"/>
        </w:rPr>
        <w:t xml:space="preserve"> ya fue autorizado por el consejo la cancelación de cuentas incobrables por un monto de $117,623.72</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A16C6F" w:rsidRDefault="00A16C6F"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A16C6F" w:rsidRDefault="00A16C6F"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003A62">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D151F3">
              <w:rPr>
                <w:rFonts w:eastAsia="Times New Roman"/>
                <w:color w:val="FFFFFF"/>
                <w:lang w:eastAsia="es-MX"/>
              </w:rPr>
              <w:t>0</w:t>
            </w:r>
            <w:r w:rsidR="00003A62">
              <w:rPr>
                <w:rFonts w:eastAsia="Times New Roman"/>
                <w:color w:val="FFFFFF"/>
                <w:lang w:eastAsia="es-MX"/>
              </w:rPr>
              <w:t>9</w:t>
            </w:r>
            <w:r w:rsidR="009473BD">
              <w:rPr>
                <w:rFonts w:eastAsia="Times New Roman"/>
                <w:color w:val="FFFFFF"/>
                <w:lang w:eastAsia="es-MX"/>
              </w:rPr>
              <w:t xml:space="preserve">  Del Año 2019</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003A62">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D151F3">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9473BD">
              <w:rPr>
                <w:rFonts w:ascii="Arial" w:eastAsia="Times New Roman" w:hAnsi="Arial" w:cs="Arial"/>
                <w:b/>
                <w:bCs/>
                <w:sz w:val="20"/>
                <w:szCs w:val="20"/>
                <w:lang w:eastAsia="es-MX"/>
              </w:rPr>
              <w:t>0</w:t>
            </w:r>
            <w:r w:rsidR="00003A62">
              <w:rPr>
                <w:rFonts w:ascii="Arial" w:eastAsia="Times New Roman" w:hAnsi="Arial" w:cs="Arial"/>
                <w:b/>
                <w:bCs/>
                <w:sz w:val="20"/>
                <w:szCs w:val="20"/>
                <w:lang w:eastAsia="es-MX"/>
              </w:rPr>
              <w:t>9</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9</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473BD">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9473BD">
              <w:rPr>
                <w:rFonts w:ascii="Arial" w:eastAsia="Times New Roman" w:hAnsi="Arial" w:cs="Arial"/>
                <w:b/>
                <w:bCs/>
                <w:sz w:val="20"/>
                <w:szCs w:val="20"/>
                <w:lang w:eastAsia="es-MX"/>
              </w:rPr>
              <w:t>8</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E97A8B" w:rsidP="005707AB">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D151F3">
              <w:rPr>
                <w:rFonts w:eastAsia="Times New Roman"/>
                <w:color w:val="000000"/>
                <w:sz w:val="20"/>
                <w:szCs w:val="20"/>
                <w:lang w:eastAsia="es-MX"/>
              </w:rPr>
              <w:t>397,</w:t>
            </w:r>
            <w:r w:rsidR="00003A62">
              <w:rPr>
                <w:rFonts w:eastAsia="Times New Roman"/>
                <w:color w:val="000000"/>
                <w:sz w:val="20"/>
                <w:szCs w:val="20"/>
                <w:lang w:eastAsia="es-MX"/>
              </w:rPr>
              <w:t>845.84</w:t>
            </w:r>
            <w:r>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9473BD">
              <w:rPr>
                <w:rFonts w:eastAsia="Times New Roman"/>
                <w:color w:val="000000"/>
                <w:sz w:val="20"/>
                <w:szCs w:val="20"/>
                <w:lang w:eastAsia="es-MX"/>
              </w:rPr>
              <w:t>397,449.86</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5707AB">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5707AB">
              <w:rPr>
                <w:rFonts w:eastAsia="Times New Roman"/>
                <w:color w:val="000000"/>
                <w:sz w:val="20"/>
                <w:szCs w:val="20"/>
                <w:lang w:eastAsia="es-MX"/>
              </w:rPr>
              <w:t>845</w:t>
            </w:r>
            <w:r w:rsidR="00E97A8B">
              <w:rPr>
                <w:rFonts w:eastAsia="Times New Roman"/>
                <w:color w:val="000000"/>
                <w:sz w:val="20"/>
                <w:szCs w:val="20"/>
                <w:lang w:eastAsia="es-MX"/>
              </w:rPr>
              <w:t>.</w:t>
            </w:r>
            <w:r w:rsidR="005707AB">
              <w:rPr>
                <w:rFonts w:eastAsia="Times New Roman"/>
                <w:color w:val="000000"/>
                <w:sz w:val="20"/>
                <w:szCs w:val="20"/>
                <w:lang w:eastAsia="es-MX"/>
              </w:rPr>
              <w:t>84</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54051">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397,449.86</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5707AB">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D151F3">
              <w:rPr>
                <w:rFonts w:eastAsia="Times New Roman"/>
                <w:color w:val="FFFFFF"/>
                <w:sz w:val="20"/>
                <w:szCs w:val="20"/>
                <w:lang w:eastAsia="es-MX"/>
              </w:rPr>
              <w:t>832</w:t>
            </w:r>
            <w:r w:rsidRPr="00DC5E9C">
              <w:rPr>
                <w:rFonts w:eastAsia="Times New Roman"/>
                <w:color w:val="FFFFFF"/>
                <w:sz w:val="20"/>
                <w:szCs w:val="20"/>
                <w:lang w:eastAsia="es-MX"/>
              </w:rPr>
              <w:t>,</w:t>
            </w:r>
            <w:r w:rsidR="005707AB">
              <w:rPr>
                <w:rFonts w:eastAsia="Times New Roman"/>
                <w:color w:val="FFFFFF"/>
                <w:sz w:val="20"/>
                <w:szCs w:val="20"/>
                <w:lang w:eastAsia="es-MX"/>
              </w:rPr>
              <w:t>2990</w:t>
            </w:r>
            <w:r w:rsidRPr="00DC5E9C">
              <w:rPr>
                <w:rFonts w:eastAsia="Times New Roman"/>
                <w:color w:val="FFFFFF"/>
                <w:sz w:val="20"/>
                <w:szCs w:val="20"/>
                <w:lang w:eastAsia="es-MX"/>
              </w:rPr>
              <w:t>.</w:t>
            </w:r>
            <w:r w:rsidR="005707AB">
              <w:rPr>
                <w:rFonts w:eastAsia="Times New Roman"/>
                <w:color w:val="FFFFFF"/>
                <w:sz w:val="20"/>
                <w:szCs w:val="20"/>
                <w:lang w:eastAsia="es-MX"/>
              </w:rPr>
              <w:t>55</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831,903.57</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E33BF4" w:rsidP="00047625">
      <w:pPr>
        <w:jc w:val="both"/>
        <w:rPr>
          <w:rFonts w:ascii="Arial" w:hAnsi="Arial" w:cs="Arial"/>
          <w:sz w:val="20"/>
          <w:szCs w:val="20"/>
          <w:u w:val="single"/>
        </w:rPr>
      </w:pPr>
      <w:r>
        <w:rPr>
          <w:rFonts w:ascii="Arial" w:hAnsi="Arial" w:cs="Arial"/>
          <w:sz w:val="20"/>
          <w:szCs w:val="20"/>
          <w:u w:val="single"/>
        </w:rPr>
        <w:t>$1,284,521,218</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003A62" w:rsidRDefault="00003A62" w:rsidP="00A37CA6">
      <w:pPr>
        <w:jc w:val="both"/>
        <w:rPr>
          <w:rFonts w:ascii="Arial" w:hAnsi="Arial" w:cs="Arial"/>
          <w:sz w:val="20"/>
          <w:szCs w:val="20"/>
          <w:u w:val="single"/>
        </w:rPr>
      </w:pP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A37CA6" w:rsidRDefault="00003A62" w:rsidP="00A37CA6">
      <w:pPr>
        <w:jc w:val="both"/>
        <w:rPr>
          <w:rFonts w:ascii="Arial" w:hAnsi="Arial" w:cs="Arial"/>
          <w:sz w:val="20"/>
          <w:szCs w:val="20"/>
        </w:rPr>
      </w:pPr>
      <w:r w:rsidRPr="0043261B">
        <w:rPr>
          <w:noProof/>
          <w:lang w:eastAsia="es-MX"/>
        </w:rPr>
        <w:drawing>
          <wp:inline distT="0" distB="0" distL="0" distR="0" wp14:anchorId="593762FF" wp14:editId="3CDDB710">
            <wp:extent cx="6209665" cy="4981575"/>
            <wp:effectExtent l="0" t="0" r="63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5102" cy="4985937"/>
                    </a:xfrm>
                    <a:prstGeom prst="rect">
                      <a:avLst/>
                    </a:prstGeom>
                    <a:noFill/>
                    <a:ln>
                      <a:noFill/>
                    </a:ln>
                  </pic:spPr>
                </pic:pic>
              </a:graphicData>
            </a:graphic>
          </wp:inline>
        </w:drawing>
      </w:r>
    </w:p>
    <w:p w:rsidR="00DE4235" w:rsidRDefault="00DE4235" w:rsidP="00DE4235">
      <w:pPr>
        <w:jc w:val="both"/>
        <w:rPr>
          <w:rFonts w:ascii="Arial" w:hAnsi="Arial" w:cs="Arial"/>
          <w:sz w:val="20"/>
          <w:szCs w:val="20"/>
        </w:rPr>
      </w:pPr>
    </w:p>
    <w:p w:rsidR="00E33BF4" w:rsidRDefault="00E33BF4" w:rsidP="00DE4235">
      <w:pPr>
        <w:jc w:val="both"/>
        <w:rPr>
          <w:rFonts w:ascii="Arial" w:hAnsi="Arial" w:cs="Arial"/>
          <w:sz w:val="20"/>
          <w:szCs w:val="20"/>
        </w:rPr>
      </w:pPr>
    </w:p>
    <w:p w:rsidR="00E33BF4" w:rsidRDefault="00E33BF4" w:rsidP="00DE4235">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A56790" w:rsidRDefault="00003A62" w:rsidP="00A56790">
      <w:pPr>
        <w:jc w:val="both"/>
        <w:rPr>
          <w:rFonts w:ascii="Arial" w:hAnsi="Arial" w:cs="Arial"/>
          <w:sz w:val="20"/>
          <w:szCs w:val="20"/>
        </w:rPr>
      </w:pPr>
      <w:r w:rsidRPr="0043261B">
        <w:rPr>
          <w:noProof/>
          <w:lang w:eastAsia="es-MX"/>
        </w:rPr>
        <w:drawing>
          <wp:inline distT="0" distB="0" distL="0" distR="0" wp14:anchorId="56B0E84A" wp14:editId="5BCC483B">
            <wp:extent cx="5400040" cy="5276036"/>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276036"/>
                    </a:xfrm>
                    <a:prstGeom prst="rect">
                      <a:avLst/>
                    </a:prstGeom>
                    <a:noFill/>
                    <a:ln>
                      <a:noFill/>
                    </a:ln>
                  </pic:spPr>
                </pic:pic>
              </a:graphicData>
            </a:graphic>
          </wp:inline>
        </w:drawing>
      </w: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E33BF4"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w:t>
      </w:r>
      <w:r w:rsidR="000A0527">
        <w:rPr>
          <w:rFonts w:ascii="Arial" w:hAnsi="Arial" w:cs="Arial"/>
          <w:bCs/>
          <w:sz w:val="20"/>
          <w:szCs w:val="20"/>
          <w:u w:val="single"/>
          <w:lang w:val="es-ES"/>
        </w:rPr>
        <w:t>r</w:t>
      </w:r>
      <w:r w:rsidRPr="0089363B">
        <w:rPr>
          <w:rFonts w:ascii="Arial" w:hAnsi="Arial" w:cs="Arial"/>
          <w:bCs/>
          <w:sz w:val="20"/>
          <w:szCs w:val="20"/>
          <w:u w:val="single"/>
          <w:lang w:val="es-ES"/>
        </w:rPr>
        <w:t xml:space="preserve">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manejo del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pago de Nómina</w:t>
      </w:r>
    </w:p>
    <w:p w:rsidR="00047625" w:rsidRDefault="00047625" w:rsidP="00047625">
      <w:pPr>
        <w:jc w:val="both"/>
        <w:rPr>
          <w:rFonts w:ascii="Arial" w:hAnsi="Arial" w:cs="Arial"/>
          <w:sz w:val="20"/>
          <w:szCs w:val="20"/>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 xml:space="preserve">En la universidad se mide el porcentaje de aprobación considerando el número de estudiantes aprobados al final del ciclo con relación al número de estudiantes existentes </w:t>
      </w:r>
      <w:proofErr w:type="gramStart"/>
      <w:r w:rsidRPr="00916986">
        <w:rPr>
          <w:rFonts w:ascii="Arial" w:hAnsi="Arial" w:cs="Arial"/>
          <w:sz w:val="20"/>
          <w:szCs w:val="20"/>
          <w:u w:val="single"/>
        </w:rPr>
        <w:t>al  final</w:t>
      </w:r>
      <w:proofErr w:type="gramEnd"/>
      <w:r w:rsidRPr="00916986">
        <w:rPr>
          <w:rFonts w:ascii="Arial" w:hAnsi="Arial" w:cs="Arial"/>
          <w:sz w:val="20"/>
          <w:szCs w:val="20"/>
          <w:u w:val="single"/>
        </w:rPr>
        <w:t xml:space="preserve"> del ciclo.</w:t>
      </w:r>
    </w:p>
    <w:p w:rsidR="00E33BF4" w:rsidRDefault="00E33BF4" w:rsidP="00E33BF4">
      <w:pPr>
        <w:ind w:left="720"/>
        <w:jc w:val="both"/>
        <w:rPr>
          <w:rFonts w:ascii="Arial" w:hAnsi="Arial" w:cs="Arial"/>
          <w:sz w:val="20"/>
          <w:szCs w:val="20"/>
          <w:u w:val="single"/>
        </w:rPr>
      </w:pPr>
    </w:p>
    <w:p w:rsidR="00E33BF4" w:rsidRPr="00916986" w:rsidRDefault="00E33BF4" w:rsidP="00E33BF4">
      <w:pPr>
        <w:ind w:left="720"/>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bookmarkStart w:id="0" w:name="_GoBack"/>
      <w:bookmarkEnd w:id="0"/>
    </w:p>
    <w:p w:rsidR="000A0527" w:rsidRDefault="000A0527"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CD565B" w:rsidRDefault="00CD565B" w:rsidP="00047625">
      <w:pPr>
        <w:jc w:val="both"/>
        <w:rPr>
          <w:rFonts w:ascii="Arial" w:hAnsi="Arial" w:cs="Arial"/>
          <w:sz w:val="20"/>
          <w:szCs w:val="20"/>
          <w:u w:val="single"/>
        </w:rPr>
      </w:pPr>
    </w:p>
    <w:p w:rsidR="000A0527" w:rsidRDefault="000A0527" w:rsidP="00047625">
      <w:pPr>
        <w:jc w:val="both"/>
        <w:rPr>
          <w:rFonts w:ascii="Arial" w:hAnsi="Arial" w:cs="Arial"/>
          <w:sz w:val="20"/>
          <w:szCs w:val="20"/>
          <w:u w:val="single"/>
        </w:rPr>
      </w:pP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75pt" o:ole="">
            <v:imagedata r:id="rId12" o:title=""/>
          </v:shape>
          <o:OLEObject Type="Embed" ProgID="Excel.Sheet.12" ShapeID="_x0000_i1025" DrawAspect="Content" ObjectID="_1632317881" r:id="rId13"/>
        </w:object>
      </w:r>
      <w:r>
        <w:rPr>
          <w:noProof/>
          <w:lang w:eastAsia="es-MX"/>
        </w:rPr>
        <w:t xml:space="preserve">             </w:t>
      </w:r>
      <w:r w:rsidRPr="0030393A">
        <w:rPr>
          <w:rFonts w:ascii="Arial" w:hAnsi="Arial" w:cs="Arial"/>
          <w:sz w:val="20"/>
          <w:szCs w:val="20"/>
        </w:rPr>
        <w:tab/>
      </w:r>
    </w:p>
    <w:p w:rsidR="00517051" w:rsidRDefault="00517051"/>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DC" w:rsidRDefault="000A7CDC">
      <w:pPr>
        <w:spacing w:after="0" w:line="240" w:lineRule="auto"/>
      </w:pPr>
      <w:r>
        <w:separator/>
      </w:r>
    </w:p>
  </w:endnote>
  <w:endnote w:type="continuationSeparator" w:id="0">
    <w:p w:rsidR="000A7CDC" w:rsidRDefault="000A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E33BF4">
    <w:pPr>
      <w:pStyle w:val="Piedepgina"/>
      <w:jc w:val="right"/>
    </w:pPr>
  </w:p>
  <w:p w:rsidR="00723817" w:rsidRDefault="00E33BF4"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DC" w:rsidRDefault="000A7CDC">
      <w:pPr>
        <w:spacing w:after="0" w:line="240" w:lineRule="auto"/>
      </w:pPr>
      <w:r>
        <w:separator/>
      </w:r>
    </w:p>
  </w:footnote>
  <w:footnote w:type="continuationSeparator" w:id="0">
    <w:p w:rsidR="000A7CDC" w:rsidRDefault="000A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131C72"/>
    <w:rsid w:val="00133252"/>
    <w:rsid w:val="00154051"/>
    <w:rsid w:val="00157D20"/>
    <w:rsid w:val="00232069"/>
    <w:rsid w:val="002402C4"/>
    <w:rsid w:val="002D2C7E"/>
    <w:rsid w:val="002E3843"/>
    <w:rsid w:val="003046C3"/>
    <w:rsid w:val="00393B28"/>
    <w:rsid w:val="003A39C0"/>
    <w:rsid w:val="004049C8"/>
    <w:rsid w:val="00420C79"/>
    <w:rsid w:val="0047693E"/>
    <w:rsid w:val="004F0337"/>
    <w:rsid w:val="00515DCE"/>
    <w:rsid w:val="00517051"/>
    <w:rsid w:val="00547424"/>
    <w:rsid w:val="00551CD7"/>
    <w:rsid w:val="005707AB"/>
    <w:rsid w:val="005B42B8"/>
    <w:rsid w:val="005F3F90"/>
    <w:rsid w:val="006B0AF3"/>
    <w:rsid w:val="006D35B5"/>
    <w:rsid w:val="006D46D3"/>
    <w:rsid w:val="006D5AAF"/>
    <w:rsid w:val="006E47CD"/>
    <w:rsid w:val="00717300"/>
    <w:rsid w:val="007C3DB7"/>
    <w:rsid w:val="007F1FEA"/>
    <w:rsid w:val="00814D4B"/>
    <w:rsid w:val="00816CBF"/>
    <w:rsid w:val="008A76C1"/>
    <w:rsid w:val="009134D1"/>
    <w:rsid w:val="0092151F"/>
    <w:rsid w:val="009445AD"/>
    <w:rsid w:val="009473BD"/>
    <w:rsid w:val="009553F6"/>
    <w:rsid w:val="0097315B"/>
    <w:rsid w:val="00985FD5"/>
    <w:rsid w:val="009904E0"/>
    <w:rsid w:val="009E6B2C"/>
    <w:rsid w:val="00A16C6F"/>
    <w:rsid w:val="00A37CA6"/>
    <w:rsid w:val="00A4386E"/>
    <w:rsid w:val="00A55184"/>
    <w:rsid w:val="00A56790"/>
    <w:rsid w:val="00AA1C8E"/>
    <w:rsid w:val="00B17A9B"/>
    <w:rsid w:val="00B2221B"/>
    <w:rsid w:val="00B24D09"/>
    <w:rsid w:val="00B4702F"/>
    <w:rsid w:val="00B6214F"/>
    <w:rsid w:val="00B711A5"/>
    <w:rsid w:val="00BB4E15"/>
    <w:rsid w:val="00BD27F8"/>
    <w:rsid w:val="00BE27E3"/>
    <w:rsid w:val="00C57A1B"/>
    <w:rsid w:val="00CD565B"/>
    <w:rsid w:val="00D1283C"/>
    <w:rsid w:val="00D151F3"/>
    <w:rsid w:val="00D412C7"/>
    <w:rsid w:val="00D57B02"/>
    <w:rsid w:val="00DB29F3"/>
    <w:rsid w:val="00DC5D3B"/>
    <w:rsid w:val="00DC5E9C"/>
    <w:rsid w:val="00DE4235"/>
    <w:rsid w:val="00E33BF4"/>
    <w:rsid w:val="00E97A8B"/>
    <w:rsid w:val="00EA5280"/>
    <w:rsid w:val="00EB2781"/>
    <w:rsid w:val="00EB7A5F"/>
    <w:rsid w:val="00ED53B5"/>
    <w:rsid w:val="00F12AB1"/>
    <w:rsid w:val="00F913FB"/>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305E7"/>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8BD8-524B-4285-B8BC-39DC907A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2441</Words>
  <Characters>13429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8</cp:revision>
  <cp:lastPrinted>2019-10-11T15:45:00Z</cp:lastPrinted>
  <dcterms:created xsi:type="dcterms:W3CDTF">2019-10-10T22:43:00Z</dcterms:created>
  <dcterms:modified xsi:type="dcterms:W3CDTF">2019-10-11T21:51:00Z</dcterms:modified>
</cp:coreProperties>
</file>