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bookmarkStart w:id="0" w:name="_GoBack"/>
      <w:bookmarkEnd w:id="0"/>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(mencionar por ejemplo: enero a diciembre de 2012)</w:t>
      </w:r>
    </w:p>
    <w:p w:rsidR="00047625" w:rsidRPr="00343B66" w:rsidRDefault="00047625" w:rsidP="00047625">
      <w:pPr>
        <w:jc w:val="both"/>
        <w:rPr>
          <w:rFonts w:ascii="Arial" w:hAnsi="Arial" w:cs="Arial"/>
          <w:sz w:val="20"/>
          <w:szCs w:val="20"/>
          <w:u w:val="single"/>
        </w:rPr>
      </w:pPr>
      <w:r>
        <w:rPr>
          <w:rFonts w:ascii="Arial" w:hAnsi="Arial" w:cs="Arial"/>
          <w:sz w:val="20"/>
          <w:szCs w:val="20"/>
          <w:u w:val="single"/>
        </w:rPr>
        <w:t>Enero a Diciembre de 2016</w:t>
      </w:r>
      <w:r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lastRenderedPageBreak/>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Pr>
          <w:rFonts w:ascii="Arial" w:hAnsi="Arial" w:cs="Arial"/>
          <w:sz w:val="20"/>
          <w:szCs w:val="20"/>
        </w:rPr>
        <w:t xml:space="preserve"> </w:t>
      </w:r>
      <w:r w:rsidRPr="0030393A">
        <w:rPr>
          <w:rFonts w:ascii="Arial" w:hAnsi="Arial" w:cs="Arial"/>
          <w:sz w:val="20"/>
          <w:szCs w:val="20"/>
        </w:rPr>
        <w:t>:</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lastRenderedPageBreak/>
        <w:t>e) Beneficios a empleados: revelar el cálculo de la reserva actuarial, valor presente de los ingresos esperados comparado con el valor presente de la estimación de gastos tanto de los beneficiarios actuales como futuros:</w:t>
      </w:r>
    </w:p>
    <w:p w:rsidR="00047625" w:rsidRDefault="00047625" w:rsidP="00047625">
      <w:pPr>
        <w:jc w:val="both"/>
        <w:rPr>
          <w:rFonts w:ascii="Arial" w:hAnsi="Arial" w:cs="Arial"/>
          <w:sz w:val="20"/>
          <w:szCs w:val="20"/>
          <w:u w:val="single"/>
        </w:rPr>
      </w:pPr>
      <w:r w:rsidRPr="00710CE4">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Pr>
          <w:rFonts w:ascii="Arial" w:hAnsi="Arial" w:cs="Arial"/>
          <w:sz w:val="20"/>
          <w:szCs w:val="20"/>
          <w:u w:val="single"/>
          <w:lang w:val="es-ES"/>
        </w:rPr>
        <w:t>7</w:t>
      </w:r>
      <w:r w:rsidRPr="00A0662A">
        <w:rPr>
          <w:rFonts w:ascii="Arial" w:hAnsi="Arial" w:cs="Arial"/>
          <w:sz w:val="20"/>
          <w:szCs w:val="20"/>
          <w:u w:val="single"/>
          <w:lang w:val="es-ES"/>
        </w:rPr>
        <w:t xml:space="preserve"> $  </w:t>
      </w:r>
      <w:r>
        <w:rPr>
          <w:rFonts w:ascii="Arial" w:hAnsi="Arial" w:cs="Arial"/>
          <w:sz w:val="20"/>
          <w:szCs w:val="20"/>
          <w:u w:val="single"/>
          <w:lang w:val="es-ES"/>
        </w:rPr>
        <w:t>49,775,405.00</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52570" w:rsidRDefault="00047625" w:rsidP="00047625">
      <w:pPr>
        <w:jc w:val="both"/>
        <w:rPr>
          <w:rFonts w:ascii="Arial" w:hAnsi="Arial" w:cs="Arial"/>
          <w:sz w:val="20"/>
          <w:szCs w:val="20"/>
          <w:u w:val="single"/>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047625" w:rsidRPr="004F6AEC" w:rsidRDefault="00047625" w:rsidP="00047625">
      <w:pPr>
        <w:jc w:val="both"/>
        <w:rPr>
          <w:rFonts w:ascii="Arial" w:hAnsi="Arial" w:cs="Arial"/>
          <w:sz w:val="20"/>
          <w:szCs w:val="20"/>
        </w:rPr>
      </w:pPr>
      <w:r>
        <w:rPr>
          <w:rFonts w:ascii="Arial" w:hAnsi="Arial" w:cs="Arial"/>
          <w:sz w:val="20"/>
          <w:szCs w:val="20"/>
        </w:rPr>
        <w:t>No aplica</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047625" w:rsidRPr="0030393A"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Pr="001F65E4">
        <w:rPr>
          <w:noProof/>
          <w:lang w:eastAsia="es-MX"/>
        </w:rPr>
        <w:drawing>
          <wp:inline distT="0" distB="0" distL="0" distR="0">
            <wp:extent cx="4060190" cy="3050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305054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5C76DC" w:rsidRDefault="00047625" w:rsidP="00047625">
      <w:pPr>
        <w:jc w:val="both"/>
        <w:rPr>
          <w:rFonts w:ascii="Arial" w:hAnsi="Arial" w:cs="Arial"/>
          <w:sz w:val="20"/>
          <w:szCs w:val="20"/>
        </w:rPr>
      </w:pPr>
      <w:r w:rsidRPr="00F334A0">
        <w:rPr>
          <w:rFonts w:ascii="Arial" w:hAnsi="Arial" w:cs="Arial"/>
          <w:sz w:val="20"/>
          <w:szCs w:val="20"/>
        </w:rPr>
        <w:t>c) Importe de los gastos capitalizados en el ejercicio, tanto financieros como de investigación y desarrollo</w:t>
      </w:r>
      <w:r w:rsidRPr="005C76DC">
        <w:rPr>
          <w:rFonts w:ascii="Arial" w:hAnsi="Arial" w:cs="Arial"/>
          <w:sz w:val="20"/>
          <w:szCs w:val="20"/>
        </w:rPr>
        <w:t>:</w:t>
      </w:r>
    </w:p>
    <w:p w:rsidR="00047625" w:rsidRPr="009E2EFA" w:rsidRDefault="00047625" w:rsidP="00047625">
      <w:pPr>
        <w:jc w:val="both"/>
        <w:rPr>
          <w:rFonts w:ascii="Arial" w:hAnsi="Arial" w:cs="Arial"/>
          <w:sz w:val="20"/>
          <w:szCs w:val="20"/>
          <w:u w:val="single"/>
        </w:rPr>
      </w:pPr>
      <w:r w:rsidRPr="005C76DC">
        <w:rPr>
          <w:rFonts w:ascii="Arial" w:hAnsi="Arial" w:cs="Arial"/>
          <w:sz w:val="20"/>
          <w:szCs w:val="20"/>
          <w:u w:val="single"/>
        </w:rPr>
        <w:t xml:space="preserve">$ </w:t>
      </w:r>
      <w:r>
        <w:rPr>
          <w:rFonts w:ascii="Arial" w:hAnsi="Arial" w:cs="Arial"/>
          <w:sz w:val="20"/>
          <w:szCs w:val="20"/>
          <w:u w:val="single"/>
        </w:rPr>
        <w:t>12,636,765.87</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047625" w:rsidRDefault="00047625" w:rsidP="00047625">
      <w:pPr>
        <w:numPr>
          <w:ilvl w:val="0"/>
          <w:numId w:val="5"/>
        </w:numPr>
        <w:jc w:val="both"/>
        <w:rPr>
          <w:rFonts w:ascii="Arial" w:hAnsi="Arial" w:cs="Arial"/>
          <w:sz w:val="20"/>
          <w:szCs w:val="20"/>
        </w:rPr>
      </w:pPr>
      <w:r w:rsidRPr="009716BA">
        <w:rPr>
          <w:rFonts w:ascii="Arial" w:hAnsi="Arial" w:cs="Arial"/>
          <w:sz w:val="20"/>
          <w:szCs w:val="20"/>
        </w:rPr>
        <w:t>Inversiones en valores</w:t>
      </w:r>
      <w:r w:rsidRPr="00F64554">
        <w:rPr>
          <w:rFonts w:ascii="Arial" w:hAnsi="Arial" w:cs="Arial"/>
          <w:sz w:val="20"/>
          <w:szCs w:val="20"/>
        </w:rPr>
        <w:t>:</w:t>
      </w:r>
    </w:p>
    <w:p w:rsidR="00047625" w:rsidRDefault="00047625" w:rsidP="00047625">
      <w:pPr>
        <w:jc w:val="both"/>
        <w:rPr>
          <w:rFonts w:ascii="Arial" w:hAnsi="Arial" w:cs="Arial"/>
          <w:sz w:val="20"/>
          <w:szCs w:val="20"/>
        </w:rPr>
      </w:pPr>
      <w:r w:rsidRPr="00437583">
        <w:rPr>
          <w:noProof/>
          <w:lang w:eastAsia="es-MX"/>
        </w:rPr>
        <w:drawing>
          <wp:inline distT="0" distB="0" distL="0" distR="0">
            <wp:extent cx="7765415" cy="332295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5415" cy="3322955"/>
                    </a:xfrm>
                    <a:prstGeom prst="rect">
                      <a:avLst/>
                    </a:prstGeom>
                    <a:noFill/>
                    <a:ln>
                      <a:noFill/>
                    </a:ln>
                  </pic:spPr>
                </pic:pic>
              </a:graphicData>
            </a:graphic>
          </wp:inline>
        </w:drawing>
      </w:r>
    </w:p>
    <w:p w:rsidR="00047625" w:rsidRDefault="00047625" w:rsidP="00047625">
      <w:pPr>
        <w:ind w:left="720"/>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sz w:val="20"/>
          <w:szCs w:val="20"/>
        </w:rPr>
      </w:pPr>
      <w:r w:rsidRPr="0043089C">
        <w:rPr>
          <w:rFonts w:ascii="Arial" w:hAnsi="Arial" w:cs="Arial"/>
          <w:b/>
          <w:sz w:val="20"/>
          <w:szCs w:val="20"/>
        </w:rPr>
        <w:t>10. Reporte de la Recaudación:</w:t>
      </w:r>
      <w:r w:rsidRPr="001B152C">
        <w:rPr>
          <w:rFonts w:ascii="Arial" w:hAnsi="Arial" w:cs="Arial"/>
          <w:b/>
          <w:sz w:val="20"/>
          <w:szCs w:val="20"/>
        </w:rPr>
        <w:tab/>
      </w:r>
    </w:p>
    <w:p w:rsidR="00047625" w:rsidRDefault="00047625" w:rsidP="00047625">
      <w:pPr>
        <w:numPr>
          <w:ilvl w:val="0"/>
          <w:numId w:val="6"/>
        </w:num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047625" w:rsidRDefault="00047625" w:rsidP="00047625">
      <w:pPr>
        <w:ind w:left="720"/>
        <w:jc w:val="both"/>
      </w:pPr>
      <w:r w:rsidRPr="004D60D5">
        <w:rPr>
          <w:noProof/>
          <w:lang w:eastAsia="es-MX"/>
        </w:rPr>
        <w:drawing>
          <wp:inline distT="0" distB="0" distL="0" distR="0">
            <wp:extent cx="5431790" cy="42583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790" cy="4258310"/>
                    </a:xfrm>
                    <a:prstGeom prst="rect">
                      <a:avLst/>
                    </a:prstGeom>
                    <a:noFill/>
                    <a:ln>
                      <a:noFill/>
                    </a:ln>
                  </pic:spPr>
                </pic:pic>
              </a:graphicData>
            </a:graphic>
          </wp:inline>
        </w:drawing>
      </w:r>
    </w:p>
    <w:p w:rsidR="00047625" w:rsidRDefault="00047625" w:rsidP="00047625">
      <w:pPr>
        <w:ind w:left="720"/>
        <w:jc w:val="both"/>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047625" w:rsidRDefault="00047625" w:rsidP="00047625">
      <w:pPr>
        <w:ind w:left="360"/>
        <w:jc w:val="both"/>
        <w:rPr>
          <w:rFonts w:ascii="Arial" w:hAnsi="Arial" w:cs="Arial"/>
          <w:sz w:val="20"/>
          <w:szCs w:val="20"/>
        </w:rPr>
      </w:pPr>
      <w:r w:rsidRPr="004D60D5">
        <w:rPr>
          <w:noProof/>
          <w:lang w:eastAsia="es-MX"/>
        </w:rPr>
        <w:drawing>
          <wp:inline distT="0" distB="0" distL="0" distR="0">
            <wp:extent cx="5520690" cy="47428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0690" cy="4742815"/>
                    </a:xfrm>
                    <a:prstGeom prst="rect">
                      <a:avLst/>
                    </a:prstGeom>
                    <a:noFill/>
                    <a:ln>
                      <a:noFill/>
                    </a:ln>
                  </pic:spPr>
                </pic:pic>
              </a:graphicData>
            </a:graphic>
          </wp:inline>
        </w:drawing>
      </w:r>
    </w:p>
    <w:p w:rsidR="00047625" w:rsidRDefault="00047625" w:rsidP="00047625">
      <w:pPr>
        <w:jc w:val="both"/>
        <w:rPr>
          <w:szCs w:val="20"/>
        </w:rPr>
      </w:pPr>
    </w:p>
    <w:p w:rsidR="00047625" w:rsidRDefault="00047625" w:rsidP="00047625">
      <w:pPr>
        <w:jc w:val="both"/>
        <w:rPr>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 Se anexara la información en las notas de desglose.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lastRenderedPageBreak/>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las  cifras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 xml:space="preserve">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w:t>
      </w:r>
      <w:r w:rsidRPr="00916986">
        <w:rPr>
          <w:rFonts w:ascii="Arial" w:hAnsi="Arial" w:cs="Arial"/>
          <w:sz w:val="20"/>
          <w:szCs w:val="20"/>
          <w:u w:val="single"/>
        </w:rPr>
        <w:lastRenderedPageBreak/>
        <w:t>programados en el año de análisis.Como medida para la eficiencia terminal del bachillerato se toma el número de estudiantes egresados de la generación N, con relación al número de estudiantes de nuevo ingreso de la generación N.En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047625" w:rsidRDefault="00047625" w:rsidP="00047625">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93546" w:rsidRDefault="00047625" w:rsidP="00047625">
      <w:pPr>
        <w:jc w:val="both"/>
        <w:rPr>
          <w:rFonts w:ascii="Arial" w:hAnsi="Arial" w:cs="Arial"/>
          <w:sz w:val="16"/>
          <w:szCs w:val="20"/>
        </w:rPr>
      </w:pPr>
      <w:r>
        <w:rPr>
          <w:noProof/>
          <w:lang w:eastAsia="es-MX"/>
        </w:rPr>
        <w:t xml:space="preserve">      </w:t>
      </w:r>
      <w:r>
        <w:rPr>
          <w:rFonts w:ascii="Times New Roman" w:eastAsia="Times New Roman" w:hAnsi="Times New Roman"/>
          <w:sz w:val="24"/>
          <w:szCs w:val="18"/>
          <w:lang w:val="es-ES" w:eastAsia="es-ES"/>
        </w:rPr>
        <w:object w:dxaOrig="1387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33pt" o:ole="">
            <v:imagedata r:id="rId12" o:title=""/>
          </v:shape>
          <o:OLEObject Type="Embed" ProgID="Excel.Sheet.12" ShapeID="_x0000_i1025" DrawAspect="Content" ObjectID="_1561292684" r:id="rId13"/>
        </w:object>
      </w:r>
      <w:r>
        <w:rPr>
          <w:noProof/>
          <w:lang w:eastAsia="es-MX"/>
        </w:rPr>
        <w:t xml:space="preserve">     </w:t>
      </w:r>
      <w:r>
        <w:rPr>
          <w:noProof/>
          <w:lang w:eastAsia="es-MX"/>
        </w:rPr>
        <w:lastRenderedPageBreak/>
        <w:t xml:space="preserve">        </w:t>
      </w:r>
      <w:r w:rsidRPr="0030393A">
        <w:rPr>
          <w:rFonts w:ascii="Arial" w:hAnsi="Arial" w:cs="Arial"/>
          <w:sz w:val="20"/>
          <w:szCs w:val="20"/>
        </w:rPr>
        <w:t>“Bajo protesta de decir verdad declaramos que los Estados Financieros y sus notas, son razonablemente correctos y son responsabilidad del emisor.</w:t>
      </w:r>
      <w:r w:rsidRPr="0030393A">
        <w:rPr>
          <w:rFonts w:ascii="Arial" w:hAnsi="Arial" w:cs="Arial"/>
          <w:sz w:val="20"/>
          <w:szCs w:val="20"/>
        </w:rPr>
        <w:tab/>
      </w:r>
    </w:p>
    <w:p w:rsidR="00517051" w:rsidRDefault="00517051"/>
    <w:sectPr w:rsidR="00517051" w:rsidSect="008D2B77">
      <w:headerReference w:type="default" r:id="rId14"/>
      <w:footerReference w:type="default" r:id="rId15"/>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694E">
      <w:pPr>
        <w:spacing w:after="0" w:line="240" w:lineRule="auto"/>
      </w:pPr>
      <w:r>
        <w:separator/>
      </w:r>
    </w:p>
  </w:endnote>
  <w:endnote w:type="continuationSeparator" w:id="0">
    <w:p w:rsidR="00000000" w:rsidRDefault="00C6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A" w:rsidRDefault="00EB2781">
    <w:pPr>
      <w:pStyle w:val="Piedepgina"/>
      <w:jc w:val="right"/>
    </w:pPr>
    <w:r>
      <w:fldChar w:fldCharType="begin"/>
    </w:r>
    <w:r>
      <w:instrText>PAGE   \* MERGEFORMAT</w:instrText>
    </w:r>
    <w:r>
      <w:fldChar w:fldCharType="separate"/>
    </w:r>
    <w:r w:rsidR="00C6694E" w:rsidRPr="00C6694E">
      <w:rPr>
        <w:noProof/>
        <w:lang w:val="es-ES"/>
      </w:rPr>
      <w:t>49</w:t>
    </w:r>
    <w:r>
      <w:fldChar w:fldCharType="end"/>
    </w:r>
  </w:p>
  <w:p w:rsidR="00723817" w:rsidRDefault="00C6694E" w:rsidP="0072381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694E">
      <w:pPr>
        <w:spacing w:after="0" w:line="240" w:lineRule="auto"/>
      </w:pPr>
      <w:r>
        <w:separator/>
      </w:r>
    </w:p>
  </w:footnote>
  <w:footnote w:type="continuationSeparator" w:id="0">
    <w:p w:rsidR="00000000" w:rsidRDefault="00C66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7625"/>
    <w:rsid w:val="00517051"/>
    <w:rsid w:val="00C6694E"/>
    <w:rsid w:val="00EB2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Hoja_de_c_lculo_de_Microsoft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HERNANDEZ ESPINOS MA DE LOURDES</cp:lastModifiedBy>
  <cp:revision>2</cp:revision>
  <cp:lastPrinted>2017-04-06T16:12:00Z</cp:lastPrinted>
  <dcterms:created xsi:type="dcterms:W3CDTF">2017-07-11T20:38:00Z</dcterms:created>
  <dcterms:modified xsi:type="dcterms:W3CDTF">2017-07-11T20:38:00Z</dcterms:modified>
</cp:coreProperties>
</file>