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B43F65">
        <w:rPr>
          <w:rFonts w:ascii="Arial" w:hAnsi="Arial" w:cs="Arial"/>
          <w:sz w:val="20"/>
          <w:szCs w:val="20"/>
        </w:rPr>
        <w:t>1</w:t>
      </w:r>
      <w:r>
        <w:rPr>
          <w:rFonts w:ascii="Arial" w:hAnsi="Arial" w:cs="Arial"/>
          <w:sz w:val="20"/>
          <w:szCs w:val="20"/>
        </w:rPr>
        <w:t xml:space="preserve"> de </w:t>
      </w:r>
      <w:r w:rsidR="00B43F65">
        <w:rPr>
          <w:rFonts w:ascii="Arial" w:hAnsi="Arial" w:cs="Arial"/>
          <w:sz w:val="20"/>
          <w:szCs w:val="20"/>
        </w:rPr>
        <w:t>dic</w:t>
      </w:r>
      <w:r w:rsidR="0076583A">
        <w:rPr>
          <w:rFonts w:ascii="Arial" w:hAnsi="Arial" w:cs="Arial"/>
          <w:sz w:val="20"/>
          <w:szCs w:val="20"/>
        </w:rPr>
        <w:t>iembre</w:t>
      </w:r>
      <w:r w:rsidR="00EC6618">
        <w:rPr>
          <w:rFonts w:ascii="Arial" w:hAnsi="Arial" w:cs="Arial"/>
          <w:sz w:val="20"/>
          <w:szCs w:val="20"/>
        </w:rPr>
        <w:t xml:space="preserve"> </w:t>
      </w:r>
      <w:r>
        <w:rPr>
          <w:rFonts w:ascii="Arial" w:hAnsi="Arial" w:cs="Arial"/>
          <w:sz w:val="20"/>
          <w:szCs w:val="20"/>
        </w:rPr>
        <w:t>de 20</w:t>
      </w:r>
      <w:r w:rsidR="0093036D">
        <w:rPr>
          <w:rFonts w:ascii="Arial" w:hAnsi="Arial" w:cs="Arial"/>
          <w:sz w:val="20"/>
          <w:szCs w:val="20"/>
        </w:rPr>
        <w:t>20</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666C7C" w:rsidRDefault="00666C7C" w:rsidP="00047625">
      <w:pPr>
        <w:jc w:val="both"/>
        <w:rPr>
          <w:rFonts w:ascii="Arial" w:hAnsi="Arial" w:cs="Arial"/>
          <w:sz w:val="20"/>
          <w:szCs w:val="20"/>
          <w:u w:val="single"/>
        </w:rPr>
      </w:pPr>
      <w:r>
        <w:rPr>
          <w:rFonts w:ascii="Arial" w:hAnsi="Arial" w:cs="Arial"/>
          <w:sz w:val="20"/>
          <w:szCs w:val="20"/>
          <w:u w:val="single"/>
        </w:rPr>
        <w:t xml:space="preserve">Los Estados financieros </w:t>
      </w:r>
      <w:r w:rsidR="00344055">
        <w:rPr>
          <w:rFonts w:ascii="Arial" w:hAnsi="Arial" w:cs="Arial"/>
          <w:sz w:val="20"/>
          <w:szCs w:val="20"/>
          <w:u w:val="single"/>
        </w:rPr>
        <w:t xml:space="preserve">comparativos </w:t>
      </w:r>
      <w:r>
        <w:rPr>
          <w:rFonts w:ascii="Arial" w:hAnsi="Arial" w:cs="Arial"/>
          <w:sz w:val="20"/>
          <w:szCs w:val="20"/>
          <w:u w:val="single"/>
        </w:rPr>
        <w:t xml:space="preserve">del periodo reflejan </w:t>
      </w:r>
      <w:r w:rsidR="00344055">
        <w:rPr>
          <w:rFonts w:ascii="Arial" w:hAnsi="Arial" w:cs="Arial"/>
          <w:sz w:val="20"/>
          <w:szCs w:val="20"/>
          <w:u w:val="single"/>
        </w:rPr>
        <w:t xml:space="preserve">consistencia en las cifras </w:t>
      </w:r>
      <w:r>
        <w:rPr>
          <w:rFonts w:ascii="Arial" w:hAnsi="Arial" w:cs="Arial"/>
          <w:sz w:val="20"/>
          <w:szCs w:val="20"/>
          <w:u w:val="single"/>
        </w:rPr>
        <w:t>contable</w:t>
      </w:r>
      <w:r w:rsidR="00344055">
        <w:rPr>
          <w:rFonts w:ascii="Arial" w:hAnsi="Arial" w:cs="Arial"/>
          <w:sz w:val="20"/>
          <w:szCs w:val="20"/>
          <w:u w:val="single"/>
        </w:rPr>
        <w:t>s</w:t>
      </w:r>
      <w:r>
        <w:rPr>
          <w:rFonts w:ascii="Arial" w:hAnsi="Arial" w:cs="Arial"/>
          <w:sz w:val="20"/>
          <w:szCs w:val="20"/>
          <w:u w:val="single"/>
        </w:rPr>
        <w:t>, presupuestal</w:t>
      </w:r>
      <w:r w:rsidR="00344055">
        <w:rPr>
          <w:rFonts w:ascii="Arial" w:hAnsi="Arial" w:cs="Arial"/>
          <w:sz w:val="20"/>
          <w:szCs w:val="20"/>
          <w:u w:val="single"/>
        </w:rPr>
        <w:t>es</w:t>
      </w:r>
      <w:r>
        <w:rPr>
          <w:rFonts w:ascii="Arial" w:hAnsi="Arial" w:cs="Arial"/>
          <w:sz w:val="20"/>
          <w:szCs w:val="20"/>
          <w:u w:val="single"/>
        </w:rPr>
        <w:t xml:space="preserve"> y patrimonial</w:t>
      </w:r>
      <w:r w:rsidR="00344055">
        <w:rPr>
          <w:rFonts w:ascii="Arial" w:hAnsi="Arial" w:cs="Arial"/>
          <w:sz w:val="20"/>
          <w:szCs w:val="20"/>
          <w:u w:val="single"/>
        </w:rPr>
        <w:t>es</w:t>
      </w:r>
      <w:r>
        <w:rPr>
          <w:rFonts w:ascii="Arial" w:hAnsi="Arial" w:cs="Arial"/>
          <w:sz w:val="20"/>
          <w:szCs w:val="20"/>
          <w:u w:val="single"/>
        </w:rPr>
        <w:t xml:space="preserve"> del SABES, sin embargo, ante la contingencia mundial en materia de salud que representa el COVID-19</w:t>
      </w:r>
      <w:r w:rsidR="00344055">
        <w:rPr>
          <w:rFonts w:ascii="Arial" w:hAnsi="Arial" w:cs="Arial"/>
          <w:sz w:val="20"/>
          <w:szCs w:val="20"/>
          <w:u w:val="single"/>
        </w:rPr>
        <w:t xml:space="preserve"> y cuyo impacto económico afecta todos los niveles de Gobierno y estratos sociales, empezó a reflejarse en los últimos días de marzo un </w:t>
      </w:r>
      <w:r>
        <w:rPr>
          <w:rFonts w:ascii="Arial" w:hAnsi="Arial" w:cs="Arial"/>
          <w:sz w:val="20"/>
          <w:szCs w:val="20"/>
          <w:u w:val="single"/>
        </w:rPr>
        <w:t>efecto des-</w:t>
      </w:r>
      <w:proofErr w:type="spellStart"/>
      <w:r>
        <w:rPr>
          <w:rFonts w:ascii="Arial" w:hAnsi="Arial" w:cs="Arial"/>
          <w:sz w:val="20"/>
          <w:szCs w:val="20"/>
          <w:u w:val="single"/>
        </w:rPr>
        <w:t>acelerativo</w:t>
      </w:r>
      <w:proofErr w:type="spellEnd"/>
      <w:r>
        <w:rPr>
          <w:rFonts w:ascii="Arial" w:hAnsi="Arial" w:cs="Arial"/>
          <w:sz w:val="20"/>
          <w:szCs w:val="20"/>
          <w:u w:val="single"/>
        </w:rPr>
        <w:t xml:space="preserve"> en la operación </w:t>
      </w:r>
      <w:r w:rsidR="00344055">
        <w:rPr>
          <w:rFonts w:ascii="Arial" w:hAnsi="Arial" w:cs="Arial"/>
          <w:sz w:val="20"/>
          <w:szCs w:val="20"/>
          <w:u w:val="single"/>
        </w:rPr>
        <w:t>de la Institución</w:t>
      </w:r>
      <w:r w:rsidR="00C9246D">
        <w:rPr>
          <w:rFonts w:ascii="Arial" w:hAnsi="Arial" w:cs="Arial"/>
          <w:sz w:val="20"/>
          <w:szCs w:val="20"/>
          <w:u w:val="single"/>
        </w:rPr>
        <w:t xml:space="preserve"> y que continúe para el próximo año</w:t>
      </w:r>
      <w:r>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6A58E8" w:rsidRDefault="008E5895" w:rsidP="00047625">
      <w:pPr>
        <w:jc w:val="both"/>
        <w:rPr>
          <w:rFonts w:ascii="Arial" w:hAnsi="Arial" w:cs="Arial"/>
          <w:sz w:val="20"/>
          <w:szCs w:val="20"/>
        </w:rPr>
      </w:pPr>
      <w:r>
        <w:rPr>
          <w:rFonts w:ascii="Arial" w:hAnsi="Arial" w:cs="Arial"/>
          <w:sz w:val="20"/>
          <w:szCs w:val="20"/>
        </w:rPr>
        <w:t xml:space="preserve">2001 Decreto </w:t>
      </w:r>
      <w:r w:rsidR="00B37818">
        <w:rPr>
          <w:rFonts w:ascii="Arial" w:hAnsi="Arial" w:cs="Arial"/>
          <w:sz w:val="20"/>
          <w:szCs w:val="20"/>
        </w:rPr>
        <w:t xml:space="preserve">Gubernativo </w:t>
      </w:r>
      <w:r>
        <w:rPr>
          <w:rFonts w:ascii="Arial" w:hAnsi="Arial" w:cs="Arial"/>
          <w:sz w:val="20"/>
          <w:szCs w:val="20"/>
        </w:rPr>
        <w:t>n</w:t>
      </w:r>
      <w:r w:rsidR="00B37818">
        <w:rPr>
          <w:rFonts w:ascii="Arial" w:hAnsi="Arial" w:cs="Arial"/>
          <w:sz w:val="20"/>
          <w:szCs w:val="20"/>
        </w:rPr>
        <w:t>úmero 34 de reestructuración de la organización del SABES</w:t>
      </w:r>
    </w:p>
    <w:p w:rsidR="00B37818" w:rsidRDefault="00B37818" w:rsidP="00047625">
      <w:pPr>
        <w:jc w:val="both"/>
        <w:rPr>
          <w:rFonts w:ascii="Arial" w:hAnsi="Arial" w:cs="Arial"/>
          <w:sz w:val="20"/>
          <w:szCs w:val="20"/>
        </w:rPr>
      </w:pPr>
      <w:r>
        <w:rPr>
          <w:rFonts w:ascii="Arial" w:hAnsi="Arial" w:cs="Arial"/>
          <w:sz w:val="20"/>
          <w:szCs w:val="20"/>
        </w:rPr>
        <w:t>2001 Decreto Gubernativo número 66 Reglamento interior del SABES</w:t>
      </w:r>
    </w:p>
    <w:p w:rsidR="00B37818" w:rsidRDefault="00B37818" w:rsidP="00047625">
      <w:pPr>
        <w:jc w:val="both"/>
        <w:rPr>
          <w:rFonts w:ascii="Arial" w:hAnsi="Arial" w:cs="Arial"/>
          <w:sz w:val="20"/>
          <w:szCs w:val="20"/>
        </w:rPr>
      </w:pPr>
      <w:r>
        <w:rPr>
          <w:rFonts w:ascii="Arial" w:hAnsi="Arial" w:cs="Arial"/>
          <w:sz w:val="20"/>
          <w:szCs w:val="20"/>
        </w:rPr>
        <w:lastRenderedPageBreak/>
        <w:t>2016 Decreto Gubernativo número 167 por el que reforma diversos dispositivos de los decretos 34 y 66</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20</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Pr="00C5602C"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declaración y pago provisional mensual de retenciones del Impuesto Sobre la Renta (ISR) por retenciones realizadas por el pago </w:t>
      </w:r>
      <w:r w:rsidRPr="00C5602C">
        <w:rPr>
          <w:rFonts w:ascii="Arial" w:hAnsi="Arial" w:cs="Arial"/>
          <w:sz w:val="20"/>
          <w:szCs w:val="20"/>
          <w:u w:val="single"/>
        </w:rPr>
        <w:t>de rentas de bienes inmuebles.</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la declaración anual de Impuesto Sobre la renta (ISR) donde se informen sobre las retenciones y pagos efectuados a residentes en el extranjero.</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C5602C"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p>
    <w:p w:rsidR="003B383E" w:rsidRPr="0030393A" w:rsidRDefault="003B383E"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w:t>
      </w:r>
      <w:r w:rsidR="00B37818">
        <w:rPr>
          <w:rFonts w:ascii="Arial" w:hAnsi="Arial" w:cs="Arial"/>
          <w:sz w:val="20"/>
          <w:szCs w:val="20"/>
          <w:u w:val="single"/>
        </w:rPr>
        <w:t xml:space="preserve"> gran</w:t>
      </w:r>
      <w:r>
        <w:rPr>
          <w:rFonts w:ascii="Arial" w:hAnsi="Arial" w:cs="Arial"/>
          <w:sz w:val="20"/>
          <w:szCs w:val="20"/>
          <w:u w:val="single"/>
        </w:rPr>
        <w:t xml:space="preserve"> medida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047625"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C5602C"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w:t>
      </w:r>
      <w:r w:rsidR="00C9246D">
        <w:rPr>
          <w:rFonts w:ascii="Arial" w:hAnsi="Arial" w:cs="Arial"/>
          <w:sz w:val="20"/>
          <w:szCs w:val="20"/>
          <w:u w:val="single"/>
        </w:rPr>
        <w:t xml:space="preserve"> se utiliza el avalúo catastral de conformidad con la Ley de Contabilidad Gubernamental</w:t>
      </w: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Pr>
          <w:rFonts w:ascii="Arial" w:hAnsi="Arial" w:cs="Arial"/>
          <w:sz w:val="20"/>
          <w:szCs w:val="20"/>
          <w:u w:val="single"/>
        </w:rPr>
        <w:t>El estudio actuarial arroja un pasivo neto por beneficios definidos por un monto de $129,991,142 al 31 de diciembre de 2019</w:t>
      </w:r>
      <w:r w:rsidR="00047625" w:rsidRPr="00710CE4">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2020</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Pr>
          <w:rFonts w:ascii="Arial" w:hAnsi="Arial" w:cs="Arial"/>
          <w:sz w:val="20"/>
          <w:szCs w:val="20"/>
          <w:u w:val="single"/>
          <w:lang w:val="es-ES"/>
        </w:rPr>
        <w:t>22</w:t>
      </w:r>
      <w:r w:rsidR="0047693E">
        <w:rPr>
          <w:rFonts w:ascii="Arial" w:hAnsi="Arial" w:cs="Arial"/>
          <w:sz w:val="20"/>
          <w:szCs w:val="20"/>
          <w:u w:val="single"/>
          <w:lang w:val="es-ES"/>
        </w:rPr>
        <w:t>,</w:t>
      </w:r>
      <w:r>
        <w:rPr>
          <w:rFonts w:ascii="Arial" w:hAnsi="Arial" w:cs="Arial"/>
          <w:sz w:val="20"/>
          <w:szCs w:val="20"/>
          <w:u w:val="single"/>
          <w:lang w:val="es-ES"/>
        </w:rPr>
        <w:t>423</w:t>
      </w:r>
      <w:r w:rsidR="0047693E">
        <w:rPr>
          <w:rFonts w:ascii="Arial" w:hAnsi="Arial" w:cs="Arial"/>
          <w:sz w:val="20"/>
          <w:szCs w:val="20"/>
          <w:u w:val="single"/>
          <w:lang w:val="es-ES"/>
        </w:rPr>
        <w:t>,</w:t>
      </w:r>
      <w:r>
        <w:rPr>
          <w:rFonts w:ascii="Arial" w:hAnsi="Arial" w:cs="Arial"/>
          <w:sz w:val="20"/>
          <w:szCs w:val="20"/>
          <w:u w:val="single"/>
          <w:lang w:val="es-ES"/>
        </w:rPr>
        <w:t>267</w:t>
      </w:r>
      <w:r w:rsidR="0047693E">
        <w:rPr>
          <w:rFonts w:ascii="Arial" w:hAnsi="Arial" w:cs="Arial"/>
          <w:sz w:val="20"/>
          <w:szCs w:val="20"/>
          <w:u w:val="single"/>
          <w:lang w:val="es-ES"/>
        </w:rPr>
        <w:t>.</w:t>
      </w:r>
      <w:r>
        <w:rPr>
          <w:rFonts w:ascii="Arial" w:hAnsi="Arial" w:cs="Arial"/>
          <w:sz w:val="20"/>
          <w:szCs w:val="20"/>
          <w:u w:val="single"/>
          <w:lang w:val="es-ES"/>
        </w:rPr>
        <w:t>36</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047625" w:rsidP="00047625">
      <w:pPr>
        <w:jc w:val="both"/>
        <w:rPr>
          <w:rFonts w:ascii="Arial" w:hAnsi="Arial" w:cs="Arial"/>
          <w:sz w:val="20"/>
          <w:szCs w:val="20"/>
        </w:rPr>
      </w:pPr>
      <w:r w:rsidRPr="009E2EFA">
        <w:rPr>
          <w:rFonts w:ascii="Arial" w:hAnsi="Arial" w:cs="Arial"/>
          <w:sz w:val="20"/>
          <w:szCs w:val="20"/>
        </w:rPr>
        <w:lastRenderedPageBreak/>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A39C0" w:rsidRDefault="00B67E4F" w:rsidP="003A39C0">
      <w:pPr>
        <w:jc w:val="both"/>
        <w:rPr>
          <w:rFonts w:ascii="Arial" w:hAnsi="Arial" w:cs="Arial"/>
          <w:sz w:val="20"/>
          <w:szCs w:val="20"/>
          <w:u w:val="single"/>
          <w:lang w:val="es-ES"/>
        </w:rPr>
      </w:pPr>
      <w:r>
        <w:rPr>
          <w:rFonts w:ascii="Arial" w:hAnsi="Arial" w:cs="Arial"/>
          <w:sz w:val="20"/>
          <w:szCs w:val="20"/>
          <w:u w:val="single"/>
          <w:lang w:val="es-ES"/>
        </w:rPr>
        <w:t>Al cierre del ejercicio el Consejo Directivo</w:t>
      </w:r>
      <w:r w:rsidR="00B966BD">
        <w:rPr>
          <w:rFonts w:ascii="Arial" w:hAnsi="Arial" w:cs="Arial"/>
          <w:sz w:val="20"/>
          <w:szCs w:val="20"/>
          <w:u w:val="single"/>
          <w:lang w:val="es-ES"/>
        </w:rPr>
        <w:t xml:space="preserve"> autori</w:t>
      </w:r>
      <w:r w:rsidR="00A91F3D">
        <w:rPr>
          <w:rFonts w:ascii="Arial" w:hAnsi="Arial" w:cs="Arial"/>
          <w:sz w:val="20"/>
          <w:szCs w:val="20"/>
          <w:u w:val="single"/>
          <w:lang w:val="es-ES"/>
        </w:rPr>
        <w:t>zo</w:t>
      </w:r>
      <w:r w:rsidR="00B966BD">
        <w:rPr>
          <w:rFonts w:ascii="Arial" w:hAnsi="Arial" w:cs="Arial"/>
          <w:sz w:val="20"/>
          <w:szCs w:val="20"/>
          <w:u w:val="single"/>
          <w:lang w:val="es-ES"/>
        </w:rPr>
        <w:t xml:space="preserve"> la cancelación de las</w:t>
      </w:r>
      <w:r w:rsidR="003A39C0">
        <w:rPr>
          <w:rFonts w:ascii="Arial" w:hAnsi="Arial" w:cs="Arial"/>
          <w:sz w:val="20"/>
          <w:szCs w:val="20"/>
          <w:u w:val="single"/>
          <w:lang w:val="es-ES"/>
        </w:rPr>
        <w:t xml:space="preserve"> cuentas incobrables</w:t>
      </w:r>
      <w:r w:rsidR="00A91F3D">
        <w:rPr>
          <w:rFonts w:ascii="Arial" w:hAnsi="Arial" w:cs="Arial"/>
          <w:sz w:val="20"/>
          <w:szCs w:val="20"/>
          <w:u w:val="single"/>
          <w:lang w:val="es-ES"/>
        </w:rPr>
        <w:t xml:space="preserve"> por un monto de $55.623.61</w:t>
      </w:r>
      <w:r w:rsidR="003A39C0" w:rsidRPr="00A0662A">
        <w:rPr>
          <w:rFonts w:ascii="Arial" w:hAnsi="Arial" w:cs="Arial"/>
          <w:sz w:val="20"/>
          <w:szCs w:val="20"/>
          <w:u w:val="single"/>
          <w:lang w:val="es-ES"/>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133252" w:rsidRDefault="00133252"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1D660B"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ab/>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lastRenderedPageBreak/>
        <w:t>Inversiones en valores:</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B43F65">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B43F65">
              <w:rPr>
                <w:rFonts w:eastAsia="Times New Roman"/>
                <w:color w:val="FFFFFF"/>
                <w:lang w:eastAsia="es-MX"/>
              </w:rPr>
              <w:t>12</w:t>
            </w:r>
            <w:r w:rsidR="00186CF6">
              <w:rPr>
                <w:rFonts w:eastAsia="Times New Roman"/>
                <w:color w:val="FFFFFF"/>
                <w:lang w:eastAsia="es-MX"/>
              </w:rPr>
              <w:t xml:space="preserve">  Del Año 2020</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1D660B">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B43F65">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B43F65">
              <w:rPr>
                <w:rFonts w:ascii="Arial" w:eastAsia="Times New Roman" w:hAnsi="Arial" w:cs="Arial"/>
                <w:b/>
                <w:bCs/>
                <w:sz w:val="20"/>
                <w:szCs w:val="20"/>
                <w:lang w:eastAsia="es-MX"/>
              </w:rPr>
              <w:t>1</w:t>
            </w:r>
            <w:r w:rsidR="00551CD7">
              <w:rPr>
                <w:rFonts w:ascii="Arial" w:eastAsia="Times New Roman" w:hAnsi="Arial" w:cs="Arial"/>
                <w:b/>
                <w:bCs/>
                <w:sz w:val="20"/>
                <w:szCs w:val="20"/>
                <w:lang w:eastAsia="es-MX"/>
              </w:rPr>
              <w:t>/</w:t>
            </w:r>
            <w:r w:rsidR="00B43F65">
              <w:rPr>
                <w:rFonts w:ascii="Arial" w:eastAsia="Times New Roman" w:hAnsi="Arial" w:cs="Arial"/>
                <w:b/>
                <w:bCs/>
                <w:sz w:val="20"/>
                <w:szCs w:val="20"/>
                <w:lang w:eastAsia="es-MX"/>
              </w:rPr>
              <w:t>12</w:t>
            </w:r>
            <w:r w:rsidRPr="00DC5E9C">
              <w:rPr>
                <w:rFonts w:ascii="Arial" w:eastAsia="Times New Roman" w:hAnsi="Arial" w:cs="Arial"/>
                <w:b/>
                <w:bCs/>
                <w:sz w:val="20"/>
                <w:szCs w:val="20"/>
                <w:lang w:eastAsia="es-MX"/>
              </w:rPr>
              <w:t>/20</w:t>
            </w:r>
            <w:r w:rsidR="00186CF6">
              <w:rPr>
                <w:rFonts w:ascii="Arial" w:eastAsia="Times New Roman" w:hAnsi="Arial" w:cs="Arial"/>
                <w:b/>
                <w:bCs/>
                <w:sz w:val="20"/>
                <w:szCs w:val="20"/>
                <w:lang w:eastAsia="es-MX"/>
              </w:rPr>
              <w:t>20</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186CF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w:t>
            </w:r>
            <w:r w:rsidR="00186CF6">
              <w:rPr>
                <w:rFonts w:ascii="Arial" w:eastAsia="Times New Roman" w:hAnsi="Arial" w:cs="Arial"/>
                <w:b/>
                <w:bCs/>
                <w:sz w:val="20"/>
                <w:szCs w:val="20"/>
                <w:lang w:eastAsia="es-MX"/>
              </w:rPr>
              <w:t>9</w:t>
            </w:r>
          </w:p>
        </w:tc>
        <w:tc>
          <w:tcPr>
            <w:tcW w:w="3526"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6"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1D660B">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B43F65">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w:t>
            </w:r>
            <w:r w:rsidR="00C5602C">
              <w:rPr>
                <w:rFonts w:eastAsia="Times New Roman"/>
                <w:color w:val="000000"/>
                <w:sz w:val="20"/>
                <w:szCs w:val="20"/>
                <w:lang w:eastAsia="es-MX"/>
              </w:rPr>
              <w:t>398,</w:t>
            </w:r>
            <w:r w:rsidR="00B43F65">
              <w:rPr>
                <w:rFonts w:eastAsia="Times New Roman"/>
                <w:color w:val="000000"/>
                <w:sz w:val="20"/>
                <w:szCs w:val="20"/>
                <w:lang w:eastAsia="es-MX"/>
              </w:rPr>
              <w:t>248.12</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397,929.73</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B43F65">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B43F65">
              <w:rPr>
                <w:rFonts w:eastAsia="Times New Roman"/>
                <w:color w:val="000000"/>
                <w:sz w:val="20"/>
                <w:szCs w:val="20"/>
                <w:lang w:eastAsia="es-MX"/>
              </w:rPr>
              <w:t>248.12</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186CF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w:t>
            </w:r>
            <w:r w:rsidR="00186CF6">
              <w:rPr>
                <w:rFonts w:eastAsia="Times New Roman"/>
                <w:color w:val="000000"/>
                <w:sz w:val="20"/>
                <w:szCs w:val="20"/>
                <w:lang w:eastAsia="es-MX"/>
              </w:rPr>
              <w:t>929.73</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515E77">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C5602C">
              <w:rPr>
                <w:rFonts w:eastAsia="Times New Roman"/>
                <w:color w:val="FFFFFF"/>
                <w:sz w:val="20"/>
                <w:szCs w:val="20"/>
                <w:lang w:eastAsia="es-MX"/>
              </w:rPr>
              <w:t>832,</w:t>
            </w:r>
            <w:r w:rsidR="00515E77">
              <w:rPr>
                <w:rFonts w:eastAsia="Times New Roman"/>
                <w:color w:val="FFFFFF"/>
                <w:sz w:val="20"/>
                <w:szCs w:val="20"/>
                <w:lang w:eastAsia="es-MX"/>
              </w:rPr>
              <w:t>701.83</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86CF6">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186CF6">
              <w:rPr>
                <w:rFonts w:eastAsia="Times New Roman"/>
                <w:color w:val="FFFFFF"/>
                <w:sz w:val="20"/>
                <w:szCs w:val="20"/>
                <w:lang w:eastAsia="es-MX"/>
              </w:rPr>
              <w:t>383.44</w:t>
            </w:r>
          </w:p>
        </w:tc>
        <w:tc>
          <w:tcPr>
            <w:tcW w:w="3526"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A04373">
        <w:rPr>
          <w:rFonts w:ascii="Arial" w:hAnsi="Arial" w:cs="Arial"/>
          <w:sz w:val="20"/>
          <w:szCs w:val="20"/>
          <w:u w:val="single"/>
        </w:rPr>
        <w:t>$1,</w:t>
      </w:r>
      <w:r w:rsidR="00A91F3D">
        <w:rPr>
          <w:rFonts w:ascii="Arial" w:hAnsi="Arial" w:cs="Arial"/>
          <w:sz w:val="20"/>
          <w:szCs w:val="20"/>
          <w:u w:val="single"/>
        </w:rPr>
        <w:t>058,577,959</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705ADA" w:rsidRDefault="00705ADA" w:rsidP="00705ADA">
      <w:pPr>
        <w:jc w:val="both"/>
        <w:rPr>
          <w:rFonts w:ascii="Arial" w:hAnsi="Arial" w:cs="Arial"/>
          <w:sz w:val="20"/>
          <w:szCs w:val="20"/>
        </w:rPr>
      </w:pPr>
      <w:r>
        <w:rPr>
          <w:rFonts w:ascii="Arial" w:hAnsi="Arial" w:cs="Arial"/>
          <w:sz w:val="20"/>
          <w:szCs w:val="20"/>
        </w:rPr>
        <w:t xml:space="preserve">a) </w:t>
      </w: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705ADA" w:rsidRPr="009B754A" w:rsidRDefault="009B754A" w:rsidP="00B056A8">
      <w:pPr>
        <w:ind w:firstLine="1134"/>
        <w:jc w:val="both"/>
        <w:rPr>
          <w:rFonts w:ascii="Arial" w:hAnsi="Arial" w:cs="Arial"/>
          <w:sz w:val="20"/>
          <w:szCs w:val="20"/>
        </w:rPr>
      </w:pPr>
      <w:r w:rsidRPr="009B754A">
        <w:rPr>
          <w:noProof/>
          <w:lang w:eastAsia="es-MX"/>
        </w:rPr>
        <w:lastRenderedPageBreak/>
        <w:drawing>
          <wp:inline distT="0" distB="0" distL="0" distR="0">
            <wp:extent cx="5772150" cy="4991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4991100"/>
                    </a:xfrm>
                    <a:prstGeom prst="rect">
                      <a:avLst/>
                    </a:prstGeom>
                    <a:noFill/>
                    <a:ln>
                      <a:noFill/>
                    </a:ln>
                  </pic:spPr>
                </pic:pic>
              </a:graphicData>
            </a:graphic>
          </wp:inline>
        </w:drawing>
      </w: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9B754A" w:rsidP="00B056A8">
      <w:pPr>
        <w:ind w:left="720"/>
        <w:jc w:val="both"/>
        <w:rPr>
          <w:rFonts w:ascii="Arial" w:hAnsi="Arial" w:cs="Arial"/>
          <w:sz w:val="20"/>
          <w:szCs w:val="20"/>
        </w:rPr>
      </w:pPr>
      <w:bookmarkStart w:id="0" w:name="_GoBack"/>
      <w:r w:rsidRPr="009B754A">
        <w:rPr>
          <w:noProof/>
          <w:lang w:eastAsia="es-MX"/>
        </w:rPr>
        <w:lastRenderedPageBreak/>
        <w:drawing>
          <wp:inline distT="0" distB="0" distL="0" distR="0">
            <wp:extent cx="6924675" cy="5038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4675" cy="5038725"/>
                    </a:xfrm>
                    <a:prstGeom prst="rect">
                      <a:avLst/>
                    </a:prstGeom>
                    <a:noFill/>
                    <a:ln>
                      <a:noFill/>
                    </a:ln>
                  </pic:spPr>
                </pic:pic>
              </a:graphicData>
            </a:graphic>
          </wp:inline>
        </w:drawing>
      </w:r>
      <w:bookmarkEnd w:id="0"/>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lastRenderedPageBreak/>
        <w:t xml:space="preserve"> </w:t>
      </w:r>
      <w:r w:rsidR="003C0035">
        <w:rPr>
          <w:rFonts w:ascii="Arial" w:hAnsi="Arial" w:cs="Arial"/>
          <w:sz w:val="20"/>
          <w:szCs w:val="20"/>
          <w:u w:val="single"/>
        </w:rPr>
        <w:t xml:space="preserve">Se realiza la contratación de personal temporal para la cobertura de la </w:t>
      </w:r>
      <w:r w:rsidR="00A91F3D">
        <w:rPr>
          <w:rFonts w:ascii="Arial" w:hAnsi="Arial" w:cs="Arial"/>
          <w:sz w:val="20"/>
          <w:szCs w:val="20"/>
          <w:u w:val="single"/>
        </w:rPr>
        <w:t>matrícula y</w:t>
      </w:r>
      <w:r w:rsidR="003C0035">
        <w:rPr>
          <w:rFonts w:ascii="Arial" w:hAnsi="Arial" w:cs="Arial"/>
          <w:sz w:val="20"/>
          <w:szCs w:val="20"/>
          <w:u w:val="single"/>
        </w:rPr>
        <w:t xml:space="preserve"> nuevas modalidades del bachillerato, con el apoyo económico de la SEG mediante el fondo interinstitucional para el primer semestre del ciclo escolar 2020-2021.</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bookmarkStart w:id="1" w:name="_MON_1569227014"/>
    <w:bookmarkEnd w:id="1"/>
    <w:p w:rsidR="00517051" w:rsidRDefault="005F3F90" w:rsidP="003C0035">
      <w:pPr>
        <w:jc w:val="both"/>
      </w:pPr>
      <w:r>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pt" o:ole="">
            <v:imagedata r:id="rId12" o:title=""/>
          </v:shape>
          <o:OLEObject Type="Embed" ProgID="Excel.Sheet.12" ShapeID="_x0000_i1025" DrawAspect="Content" ObjectID="_1673541721" r:id="rId13"/>
        </w:object>
      </w:r>
      <w:r w:rsidR="00047625">
        <w:rPr>
          <w:noProof/>
          <w:lang w:eastAsia="es-MX"/>
        </w:rPr>
        <w:t xml:space="preserve">             </w:t>
      </w:r>
    </w:p>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58463C">
    <w:pPr>
      <w:pStyle w:val="Piedepgina"/>
      <w:jc w:val="right"/>
    </w:pPr>
  </w:p>
  <w:p w:rsidR="00723817" w:rsidRDefault="0058463C"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4431D"/>
    <w:rsid w:val="00047625"/>
    <w:rsid w:val="000820C1"/>
    <w:rsid w:val="00096739"/>
    <w:rsid w:val="000A0527"/>
    <w:rsid w:val="000A7CDC"/>
    <w:rsid w:val="000E1ED0"/>
    <w:rsid w:val="000E7746"/>
    <w:rsid w:val="0010106A"/>
    <w:rsid w:val="00131C72"/>
    <w:rsid w:val="00133252"/>
    <w:rsid w:val="00146DBE"/>
    <w:rsid w:val="00154051"/>
    <w:rsid w:val="00157D20"/>
    <w:rsid w:val="00186CF6"/>
    <w:rsid w:val="001D660B"/>
    <w:rsid w:val="00232069"/>
    <w:rsid w:val="002402C4"/>
    <w:rsid w:val="00252282"/>
    <w:rsid w:val="002D2C7E"/>
    <w:rsid w:val="002E3843"/>
    <w:rsid w:val="003046C3"/>
    <w:rsid w:val="00344055"/>
    <w:rsid w:val="003513E6"/>
    <w:rsid w:val="00376329"/>
    <w:rsid w:val="00393B28"/>
    <w:rsid w:val="003A39C0"/>
    <w:rsid w:val="003B383E"/>
    <w:rsid w:val="003C0035"/>
    <w:rsid w:val="004049C8"/>
    <w:rsid w:val="00420C79"/>
    <w:rsid w:val="004520DB"/>
    <w:rsid w:val="0047693E"/>
    <w:rsid w:val="00496F77"/>
    <w:rsid w:val="004F0337"/>
    <w:rsid w:val="004F4581"/>
    <w:rsid w:val="00515DCE"/>
    <w:rsid w:val="00515E77"/>
    <w:rsid w:val="00517051"/>
    <w:rsid w:val="00547424"/>
    <w:rsid w:val="00551CD7"/>
    <w:rsid w:val="005707AB"/>
    <w:rsid w:val="005844F7"/>
    <w:rsid w:val="0058463C"/>
    <w:rsid w:val="005B15F1"/>
    <w:rsid w:val="005B3D99"/>
    <w:rsid w:val="005B42B8"/>
    <w:rsid w:val="005F3F90"/>
    <w:rsid w:val="00666C7C"/>
    <w:rsid w:val="0068684A"/>
    <w:rsid w:val="006A58E8"/>
    <w:rsid w:val="006B0AF3"/>
    <w:rsid w:val="006D35B5"/>
    <w:rsid w:val="006D46D3"/>
    <w:rsid w:val="006D5AAF"/>
    <w:rsid w:val="006D7841"/>
    <w:rsid w:val="006E47CD"/>
    <w:rsid w:val="00705ADA"/>
    <w:rsid w:val="00715B4D"/>
    <w:rsid w:val="00717300"/>
    <w:rsid w:val="0076583A"/>
    <w:rsid w:val="00774087"/>
    <w:rsid w:val="00790024"/>
    <w:rsid w:val="007C3DB7"/>
    <w:rsid w:val="007F1FEA"/>
    <w:rsid w:val="00814D4B"/>
    <w:rsid w:val="00816CBF"/>
    <w:rsid w:val="008253EB"/>
    <w:rsid w:val="00835285"/>
    <w:rsid w:val="00886EF1"/>
    <w:rsid w:val="008A76C1"/>
    <w:rsid w:val="008C3553"/>
    <w:rsid w:val="008E5895"/>
    <w:rsid w:val="009134D1"/>
    <w:rsid w:val="0092151F"/>
    <w:rsid w:val="0093036D"/>
    <w:rsid w:val="00941A9B"/>
    <w:rsid w:val="00941BCA"/>
    <w:rsid w:val="009445AD"/>
    <w:rsid w:val="009473BD"/>
    <w:rsid w:val="009553F6"/>
    <w:rsid w:val="009559F6"/>
    <w:rsid w:val="0097315B"/>
    <w:rsid w:val="00985FD5"/>
    <w:rsid w:val="009904E0"/>
    <w:rsid w:val="009B754A"/>
    <w:rsid w:val="009E6B2C"/>
    <w:rsid w:val="00A04373"/>
    <w:rsid w:val="00A16C6F"/>
    <w:rsid w:val="00A253DB"/>
    <w:rsid w:val="00A37CA6"/>
    <w:rsid w:val="00A4386E"/>
    <w:rsid w:val="00A55184"/>
    <w:rsid w:val="00A56790"/>
    <w:rsid w:val="00A81C3F"/>
    <w:rsid w:val="00A91F3D"/>
    <w:rsid w:val="00AA1C8E"/>
    <w:rsid w:val="00AC14F4"/>
    <w:rsid w:val="00AC53B3"/>
    <w:rsid w:val="00AD5299"/>
    <w:rsid w:val="00B01AF3"/>
    <w:rsid w:val="00B056A8"/>
    <w:rsid w:val="00B17A9B"/>
    <w:rsid w:val="00B2221B"/>
    <w:rsid w:val="00B24D09"/>
    <w:rsid w:val="00B37818"/>
    <w:rsid w:val="00B43F65"/>
    <w:rsid w:val="00B4702F"/>
    <w:rsid w:val="00B6214F"/>
    <w:rsid w:val="00B67E4F"/>
    <w:rsid w:val="00B711A5"/>
    <w:rsid w:val="00B966BD"/>
    <w:rsid w:val="00BB4C70"/>
    <w:rsid w:val="00BB4E15"/>
    <w:rsid w:val="00BD27F8"/>
    <w:rsid w:val="00BD4E25"/>
    <w:rsid w:val="00BE27E3"/>
    <w:rsid w:val="00C55F89"/>
    <w:rsid w:val="00C5602C"/>
    <w:rsid w:val="00C57A1B"/>
    <w:rsid w:val="00C847B2"/>
    <w:rsid w:val="00C9246D"/>
    <w:rsid w:val="00C94C3C"/>
    <w:rsid w:val="00CC5E76"/>
    <w:rsid w:val="00CD565B"/>
    <w:rsid w:val="00D1283C"/>
    <w:rsid w:val="00D151F3"/>
    <w:rsid w:val="00D412C7"/>
    <w:rsid w:val="00D57B02"/>
    <w:rsid w:val="00D6107E"/>
    <w:rsid w:val="00D64919"/>
    <w:rsid w:val="00DB29F3"/>
    <w:rsid w:val="00DC5D3B"/>
    <w:rsid w:val="00DC5E9C"/>
    <w:rsid w:val="00DE4235"/>
    <w:rsid w:val="00DE6304"/>
    <w:rsid w:val="00E33BF4"/>
    <w:rsid w:val="00E97A8B"/>
    <w:rsid w:val="00EA20AD"/>
    <w:rsid w:val="00EA5280"/>
    <w:rsid w:val="00EB1975"/>
    <w:rsid w:val="00EB2781"/>
    <w:rsid w:val="00EB7A5F"/>
    <w:rsid w:val="00EC6618"/>
    <w:rsid w:val="00ED53B5"/>
    <w:rsid w:val="00ED5D30"/>
    <w:rsid w:val="00EE71E0"/>
    <w:rsid w:val="00F12AB1"/>
    <w:rsid w:val="00F238A9"/>
    <w:rsid w:val="00F653E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767B-0778-48AF-A963-A194229B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2316</Words>
  <Characters>12739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2019-10-11T15:45:00Z</cp:lastPrinted>
  <dcterms:created xsi:type="dcterms:W3CDTF">2021-01-31T01:55:00Z</dcterms:created>
  <dcterms:modified xsi:type="dcterms:W3CDTF">2021-01-31T01:55:00Z</dcterms:modified>
</cp:coreProperties>
</file>