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047625" w:rsidRPr="0030393A" w:rsidRDefault="00047625" w:rsidP="00047625">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lastRenderedPageBreak/>
        <w:t xml:space="preserve">25 de  </w:t>
      </w:r>
      <w:proofErr w:type="spellStart"/>
      <w:r w:rsidRPr="00777DCA">
        <w:rPr>
          <w:rFonts w:ascii="Arial" w:hAnsi="Arial" w:cs="Arial"/>
          <w:sz w:val="20"/>
          <w:szCs w:val="20"/>
          <w:u w:val="single"/>
        </w:rPr>
        <w:t>de</w:t>
      </w:r>
      <w:proofErr w:type="spellEnd"/>
      <w:r w:rsidRPr="00777DCA">
        <w:rPr>
          <w:rFonts w:ascii="Arial" w:hAnsi="Arial" w:cs="Arial"/>
          <w:sz w:val="20"/>
          <w:szCs w:val="20"/>
          <w:u w:val="single"/>
        </w:rPr>
        <w:t xml:space="preserve"> Octubre de 1996 mediante Decreto Gubernativo No. 46.</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047625" w:rsidRPr="0030393A" w:rsidRDefault="00047625" w:rsidP="00047625">
      <w:pPr>
        <w:jc w:val="both"/>
        <w:rPr>
          <w:rFonts w:ascii="Arial" w:hAnsi="Arial" w:cs="Arial"/>
          <w:sz w:val="20"/>
          <w:szCs w:val="20"/>
        </w:rPr>
      </w:pP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(mencionar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Enero a Diciembre de 2017</w:t>
      </w:r>
      <w:r w:rsidR="00047625" w:rsidRPr="00343B66">
        <w:rPr>
          <w:rFonts w:ascii="Arial" w:hAnsi="Arial" w:cs="Arial"/>
          <w:sz w:val="20"/>
          <w:szCs w:val="20"/>
          <w:u w:val="single"/>
        </w:rPr>
        <w:t>.</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sobre pagos y retenciones de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aplican los Postulados Básicos de Registro Contable, el devengo del ingreso, entre otros, aún se encuentra en fase </w:t>
      </w:r>
      <w:proofErr w:type="gramStart"/>
      <w:r>
        <w:rPr>
          <w:rFonts w:ascii="Arial" w:hAnsi="Arial" w:cs="Arial"/>
          <w:sz w:val="20"/>
          <w:szCs w:val="20"/>
          <w:u w:val="single"/>
        </w:rPr>
        <w:t xml:space="preserve">de desarrollo algunos de </w:t>
      </w:r>
      <w:proofErr w:type="gramEnd"/>
      <w:r>
        <w:rPr>
          <w:rFonts w:ascii="Arial" w:hAnsi="Arial" w:cs="Arial"/>
          <w:sz w:val="20"/>
          <w:szCs w:val="20"/>
          <w:u w:val="single"/>
        </w:rPr>
        <w:t xml:space="preserve"> los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 xml:space="preserve">d) Sistema y método de valuación de inventarios y costo de lo </w:t>
      </w:r>
      <w:proofErr w:type="gramStart"/>
      <w:r w:rsidRPr="0030393A">
        <w:rPr>
          <w:rFonts w:ascii="Arial" w:hAnsi="Arial" w:cs="Arial"/>
          <w:sz w:val="20"/>
          <w:szCs w:val="20"/>
        </w:rPr>
        <w:t>vendido</w:t>
      </w:r>
      <w:r>
        <w:rPr>
          <w:rFonts w:ascii="Arial" w:hAnsi="Arial" w:cs="Arial"/>
          <w:sz w:val="20"/>
          <w:szCs w:val="20"/>
        </w:rPr>
        <w:t xml:space="preserve"> </w:t>
      </w:r>
      <w:r w:rsidRPr="0030393A">
        <w:rPr>
          <w:rFonts w:ascii="Arial" w:hAnsi="Arial" w:cs="Arial"/>
          <w:sz w:val="20"/>
          <w:szCs w:val="20"/>
        </w:rPr>
        <w:t>:</w:t>
      </w:r>
      <w:r>
        <w:rPr>
          <w:rFonts w:ascii="Arial" w:hAnsi="Arial" w:cs="Arial"/>
          <w:sz w:val="20"/>
          <w:szCs w:val="20"/>
          <w:u w:val="single"/>
        </w:rPr>
        <w:t>No</w:t>
      </w:r>
      <w:proofErr w:type="gramEnd"/>
      <w:r>
        <w:rPr>
          <w:rFonts w:ascii="Arial" w:hAnsi="Arial" w:cs="Arial"/>
          <w:sz w:val="20"/>
          <w:szCs w:val="20"/>
          <w:u w:val="single"/>
        </w:rPr>
        <w:t xml:space="preserve">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047625" w:rsidP="00047625">
      <w:pPr>
        <w:jc w:val="both"/>
        <w:rPr>
          <w:rFonts w:ascii="Arial" w:hAnsi="Arial" w:cs="Arial"/>
          <w:sz w:val="20"/>
          <w:szCs w:val="20"/>
          <w:u w:val="single"/>
        </w:rPr>
      </w:pPr>
      <w:r w:rsidRPr="00710CE4">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Pr>
          <w:rFonts w:ascii="Arial" w:hAnsi="Arial" w:cs="Arial"/>
          <w:sz w:val="20"/>
          <w:szCs w:val="20"/>
          <w:u w:val="single"/>
          <w:lang w:val="es-ES"/>
        </w:rPr>
        <w:t>7</w:t>
      </w:r>
      <w:r w:rsidRPr="00A0662A">
        <w:rPr>
          <w:rFonts w:ascii="Arial" w:hAnsi="Arial" w:cs="Arial"/>
          <w:sz w:val="20"/>
          <w:szCs w:val="20"/>
          <w:u w:val="single"/>
          <w:lang w:val="es-ES"/>
        </w:rPr>
        <w:t xml:space="preserve"> $  </w:t>
      </w:r>
      <w:r w:rsidR="00232069">
        <w:rPr>
          <w:rFonts w:ascii="Arial" w:hAnsi="Arial" w:cs="Arial"/>
          <w:sz w:val="20"/>
          <w:szCs w:val="20"/>
          <w:u w:val="single"/>
          <w:lang w:val="es-ES"/>
        </w:rPr>
        <w:t>53</w:t>
      </w:r>
      <w:proofErr w:type="gramStart"/>
      <w:r>
        <w:rPr>
          <w:rFonts w:ascii="Arial" w:hAnsi="Arial" w:cs="Arial"/>
          <w:sz w:val="20"/>
          <w:szCs w:val="20"/>
          <w:u w:val="single"/>
          <w:lang w:val="es-ES"/>
        </w:rPr>
        <w:t>,775,405.00</w:t>
      </w:r>
      <w:proofErr w:type="gramEnd"/>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w:t>
      </w:r>
      <w:proofErr w:type="gramStart"/>
      <w:r w:rsidRPr="00350D48">
        <w:rPr>
          <w:rFonts w:ascii="Arial" w:hAnsi="Arial" w:cs="Arial"/>
          <w:sz w:val="20"/>
          <w:szCs w:val="20"/>
        </w:rPr>
        <w:t>de</w:t>
      </w:r>
      <w:proofErr w:type="gramEnd"/>
      <w:r w:rsidRPr="00350D48">
        <w:rPr>
          <w:rFonts w:ascii="Arial" w:hAnsi="Arial" w:cs="Arial"/>
          <w:sz w:val="20"/>
          <w:szCs w:val="20"/>
        </w:rPr>
        <w:t xml:space="preserv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52570" w:rsidRDefault="00047625" w:rsidP="00047625">
      <w:pPr>
        <w:jc w:val="both"/>
        <w:rPr>
          <w:rFonts w:ascii="Arial" w:hAnsi="Arial" w:cs="Arial"/>
          <w:sz w:val="20"/>
          <w:szCs w:val="20"/>
          <w:u w:val="single"/>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047625" w:rsidRPr="004F6AEC" w:rsidRDefault="00047625" w:rsidP="00047625">
      <w:pPr>
        <w:jc w:val="both"/>
        <w:rPr>
          <w:rFonts w:ascii="Arial" w:hAnsi="Arial" w:cs="Arial"/>
          <w:sz w:val="20"/>
          <w:szCs w:val="20"/>
        </w:rPr>
      </w:pPr>
      <w:r>
        <w:rPr>
          <w:rFonts w:ascii="Arial" w:hAnsi="Arial" w:cs="Arial"/>
          <w:sz w:val="20"/>
          <w:szCs w:val="20"/>
        </w:rPr>
        <w:t>No aplica</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047625" w:rsidRPr="0030393A"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Pr="001F65E4">
        <w:rPr>
          <w:noProof/>
          <w:lang w:eastAsia="es-MX"/>
        </w:rPr>
        <w:drawing>
          <wp:inline distT="0" distB="0" distL="0" distR="0">
            <wp:extent cx="4060190" cy="3050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305054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5C76DC" w:rsidRDefault="00047625" w:rsidP="00047625">
      <w:pPr>
        <w:jc w:val="both"/>
        <w:rPr>
          <w:rFonts w:ascii="Arial" w:hAnsi="Arial" w:cs="Arial"/>
          <w:sz w:val="20"/>
          <w:szCs w:val="20"/>
        </w:rPr>
      </w:pPr>
      <w:r w:rsidRPr="00F334A0">
        <w:rPr>
          <w:rFonts w:ascii="Arial" w:hAnsi="Arial" w:cs="Arial"/>
          <w:sz w:val="20"/>
          <w:szCs w:val="20"/>
        </w:rPr>
        <w:t>c) Importe de los gastos capitalizados en el ejercicio, tanto financieros como de investigación y desarrollo</w:t>
      </w:r>
      <w:r w:rsidRPr="005C76DC">
        <w:rPr>
          <w:rFonts w:ascii="Arial" w:hAnsi="Arial" w:cs="Arial"/>
          <w:sz w:val="20"/>
          <w:szCs w:val="20"/>
        </w:rPr>
        <w:t>:</w:t>
      </w:r>
    </w:p>
    <w:p w:rsidR="00047625" w:rsidRPr="009E2EFA" w:rsidRDefault="00047625" w:rsidP="00047625">
      <w:pPr>
        <w:jc w:val="both"/>
        <w:rPr>
          <w:rFonts w:ascii="Arial" w:hAnsi="Arial" w:cs="Arial"/>
          <w:sz w:val="20"/>
          <w:szCs w:val="20"/>
          <w:u w:val="single"/>
        </w:rPr>
      </w:pPr>
      <w:r w:rsidRPr="005C76DC">
        <w:rPr>
          <w:rFonts w:ascii="Arial" w:hAnsi="Arial" w:cs="Arial"/>
          <w:sz w:val="20"/>
          <w:szCs w:val="20"/>
          <w:u w:val="single"/>
        </w:rPr>
        <w:t xml:space="preserve">$ </w:t>
      </w:r>
      <w:r>
        <w:rPr>
          <w:rFonts w:ascii="Arial" w:hAnsi="Arial" w:cs="Arial"/>
          <w:sz w:val="20"/>
          <w:szCs w:val="20"/>
          <w:u w:val="single"/>
        </w:rPr>
        <w:t>12</w:t>
      </w:r>
      <w:proofErr w:type="gramStart"/>
      <w:r>
        <w:rPr>
          <w:rFonts w:ascii="Arial" w:hAnsi="Arial" w:cs="Arial"/>
          <w:sz w:val="20"/>
          <w:szCs w:val="20"/>
          <w:u w:val="single"/>
        </w:rPr>
        <w:t>,636,765.87</w:t>
      </w:r>
      <w:proofErr w:type="gramEnd"/>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numPr>
          <w:ilvl w:val="0"/>
          <w:numId w:val="5"/>
        </w:numPr>
        <w:jc w:val="both"/>
        <w:rPr>
          <w:rFonts w:ascii="Arial" w:hAnsi="Arial" w:cs="Arial"/>
          <w:sz w:val="20"/>
          <w:szCs w:val="20"/>
        </w:rPr>
      </w:pPr>
      <w:r w:rsidRPr="009716BA">
        <w:rPr>
          <w:rFonts w:ascii="Arial" w:hAnsi="Arial" w:cs="Arial"/>
          <w:sz w:val="20"/>
          <w:szCs w:val="20"/>
        </w:rPr>
        <w:t>Inversiones en valores</w:t>
      </w:r>
      <w:r w:rsidRPr="00F64554">
        <w:rPr>
          <w:rFonts w:ascii="Arial" w:hAnsi="Arial" w:cs="Arial"/>
          <w:sz w:val="20"/>
          <w:szCs w:val="20"/>
        </w:rPr>
        <w:t>:</w:t>
      </w: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6F79A3" w:rsidP="006F79A3">
            <w:pPr>
              <w:spacing w:after="0" w:line="240" w:lineRule="auto"/>
              <w:jc w:val="center"/>
              <w:rPr>
                <w:rFonts w:eastAsia="Times New Roman"/>
                <w:color w:val="FFFFFF"/>
                <w:lang w:eastAsia="es-MX"/>
              </w:rPr>
            </w:pPr>
            <w:r>
              <w:rPr>
                <w:rFonts w:eastAsia="Times New Roman"/>
                <w:color w:val="FFFFFF"/>
                <w:lang w:eastAsia="es-MX"/>
              </w:rPr>
              <w:t>Al mes 12</w:t>
            </w:r>
            <w:r w:rsidR="00DC5E9C" w:rsidRPr="00DC5E9C">
              <w:rPr>
                <w:rFonts w:eastAsia="Times New Roman"/>
                <w:color w:val="FFFFFF"/>
                <w:lang w:eastAsia="es-MX"/>
              </w:rPr>
              <w:t xml:space="preserve">  Del Año 2017</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6F79A3">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6F79A3" w:rsidP="006F79A3">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SALDO AL 31/12</w:t>
            </w:r>
            <w:r w:rsidR="00DC5E9C" w:rsidRPr="00DC5E9C">
              <w:rPr>
                <w:rFonts w:ascii="Arial" w:eastAsia="Times New Roman" w:hAnsi="Arial" w:cs="Arial"/>
                <w:b/>
                <w:bCs/>
                <w:sz w:val="20"/>
                <w:szCs w:val="20"/>
                <w:lang w:eastAsia="es-MX"/>
              </w:rPr>
              <w:t>/2017</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6F79A3">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30/0</w:t>
            </w:r>
            <w:r w:rsidR="006F79A3">
              <w:rPr>
                <w:rFonts w:ascii="Arial" w:eastAsia="Times New Roman" w:hAnsi="Arial" w:cs="Arial"/>
                <w:b/>
                <w:bCs/>
                <w:sz w:val="20"/>
                <w:szCs w:val="20"/>
                <w:lang w:eastAsia="es-MX"/>
              </w:rPr>
              <w:t>9</w:t>
            </w:r>
            <w:r w:rsidRPr="00DC5E9C">
              <w:rPr>
                <w:rFonts w:ascii="Arial" w:eastAsia="Times New Roman" w:hAnsi="Arial" w:cs="Arial"/>
                <w:b/>
                <w:bCs/>
                <w:sz w:val="20"/>
                <w:szCs w:val="20"/>
                <w:lang w:eastAsia="es-MX"/>
              </w:rPr>
              <w:t>/2017</w:t>
            </w:r>
          </w:p>
        </w:tc>
        <w:tc>
          <w:tcPr>
            <w:tcW w:w="3526"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6F79A3">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6"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6F79A3" w:rsidRPr="00DC5E9C" w:rsidTr="006F79A3">
        <w:trPr>
          <w:trHeight w:val="751"/>
        </w:trPr>
        <w:tc>
          <w:tcPr>
            <w:tcW w:w="5624" w:type="dxa"/>
            <w:tcBorders>
              <w:top w:val="nil"/>
              <w:left w:val="single" w:sz="4" w:space="0" w:color="auto"/>
              <w:bottom w:val="single" w:sz="4" w:space="0" w:color="auto"/>
              <w:right w:val="single" w:sz="4" w:space="0" w:color="auto"/>
            </w:tcBorders>
            <w:shd w:val="clear" w:color="000000" w:fill="FFFFFF"/>
            <w:noWrap/>
            <w:hideMark/>
          </w:tcPr>
          <w:p w:rsidR="006F79A3" w:rsidRPr="00030F26" w:rsidRDefault="006F79A3" w:rsidP="006F79A3">
            <w:r w:rsidRPr="00030F26">
              <w:t xml:space="preserve">    1121102002  INV BANCOMER INF. 1351</w:t>
            </w:r>
          </w:p>
        </w:tc>
        <w:tc>
          <w:tcPr>
            <w:tcW w:w="1617" w:type="dxa"/>
            <w:tcBorders>
              <w:top w:val="nil"/>
              <w:left w:val="nil"/>
              <w:bottom w:val="single" w:sz="4" w:space="0" w:color="auto"/>
              <w:right w:val="single" w:sz="4" w:space="0" w:color="auto"/>
            </w:tcBorders>
            <w:shd w:val="clear" w:color="000000" w:fill="FFFFFF"/>
            <w:noWrap/>
            <w:hideMark/>
          </w:tcPr>
          <w:p w:rsidR="006F79A3" w:rsidRPr="00030F26" w:rsidRDefault="006F79A3" w:rsidP="006F79A3">
            <w:r w:rsidRPr="00030F26">
              <w:t xml:space="preserve"> </w:t>
            </w:r>
          </w:p>
        </w:tc>
        <w:tc>
          <w:tcPr>
            <w:tcW w:w="2061" w:type="dxa"/>
            <w:tcBorders>
              <w:top w:val="nil"/>
              <w:left w:val="nil"/>
              <w:bottom w:val="single" w:sz="4" w:space="0" w:color="auto"/>
              <w:right w:val="single" w:sz="4" w:space="0" w:color="auto"/>
            </w:tcBorders>
            <w:shd w:val="clear" w:color="000000" w:fill="FFFFFF"/>
            <w:noWrap/>
            <w:hideMark/>
          </w:tcPr>
          <w:p w:rsidR="006F79A3" w:rsidRPr="00030F26" w:rsidRDefault="006F79A3" w:rsidP="006F79A3">
            <w:r w:rsidRPr="00030F26">
              <w:t xml:space="preserve"> </w:t>
            </w:r>
            <w:r>
              <w:t>4,321,670.80</w:t>
            </w:r>
          </w:p>
        </w:tc>
        <w:tc>
          <w:tcPr>
            <w:tcW w:w="3526" w:type="dxa"/>
            <w:tcBorders>
              <w:top w:val="nil"/>
              <w:left w:val="nil"/>
              <w:bottom w:val="single" w:sz="4" w:space="0" w:color="auto"/>
              <w:right w:val="single" w:sz="4" w:space="0" w:color="auto"/>
            </w:tcBorders>
            <w:shd w:val="clear" w:color="000000" w:fill="FFFFFF"/>
            <w:hideMark/>
          </w:tcPr>
          <w:p w:rsidR="006F79A3" w:rsidRPr="006F79A3" w:rsidRDefault="006F79A3" w:rsidP="006F79A3">
            <w:pPr>
              <w:spacing w:after="0" w:line="240" w:lineRule="auto"/>
              <w:rPr>
                <w:rFonts w:eastAsia="Times New Roman"/>
                <w:color w:val="000000"/>
              </w:rPr>
            </w:pPr>
            <w:r>
              <w:rPr>
                <w:color w:val="000000"/>
              </w:rPr>
              <w:t>Pagaré M.N. Incrementa por las aportaciones de patronatos y subsidios de la Secretaría de Finanzas y Administración.</w:t>
            </w:r>
          </w:p>
        </w:tc>
      </w:tr>
      <w:tr w:rsidR="006F79A3" w:rsidRPr="00DC5E9C" w:rsidTr="006F79A3">
        <w:trPr>
          <w:trHeight w:val="506"/>
        </w:trPr>
        <w:tc>
          <w:tcPr>
            <w:tcW w:w="5624" w:type="dxa"/>
            <w:tcBorders>
              <w:top w:val="nil"/>
              <w:left w:val="single" w:sz="4" w:space="0" w:color="auto"/>
              <w:bottom w:val="single" w:sz="4" w:space="0" w:color="auto"/>
              <w:right w:val="single" w:sz="4" w:space="0" w:color="auto"/>
            </w:tcBorders>
            <w:shd w:val="clear" w:color="000000" w:fill="FFFFFF"/>
            <w:noWrap/>
            <w:hideMark/>
          </w:tcPr>
          <w:p w:rsidR="006F79A3" w:rsidRPr="00030F26" w:rsidRDefault="006F79A3" w:rsidP="006F79A3">
            <w:r w:rsidRPr="00030F26">
              <w:t xml:space="preserve">    1121109001  IXE CASA BOLSA 589531</w:t>
            </w:r>
          </w:p>
        </w:tc>
        <w:tc>
          <w:tcPr>
            <w:tcW w:w="1617" w:type="dxa"/>
            <w:tcBorders>
              <w:top w:val="nil"/>
              <w:left w:val="nil"/>
              <w:bottom w:val="single" w:sz="4" w:space="0" w:color="auto"/>
              <w:right w:val="single" w:sz="4" w:space="0" w:color="auto"/>
            </w:tcBorders>
            <w:shd w:val="clear" w:color="000000" w:fill="FFFFFF"/>
            <w:noWrap/>
            <w:hideMark/>
          </w:tcPr>
          <w:p w:rsidR="006F79A3" w:rsidRPr="00030F26" w:rsidRDefault="006F79A3" w:rsidP="006F79A3">
            <w:r w:rsidRPr="00030F26">
              <w:t>397,031.89</w:t>
            </w:r>
          </w:p>
        </w:tc>
        <w:tc>
          <w:tcPr>
            <w:tcW w:w="2061" w:type="dxa"/>
            <w:tcBorders>
              <w:top w:val="nil"/>
              <w:left w:val="nil"/>
              <w:bottom w:val="single" w:sz="4" w:space="0" w:color="auto"/>
              <w:right w:val="single" w:sz="4" w:space="0" w:color="auto"/>
            </w:tcBorders>
            <w:shd w:val="clear" w:color="000000" w:fill="FFFFFF"/>
            <w:noWrap/>
            <w:hideMark/>
          </w:tcPr>
          <w:p w:rsidR="006F79A3" w:rsidRPr="00030F26" w:rsidRDefault="006F79A3" w:rsidP="006F79A3">
            <w:r w:rsidRPr="00030F26">
              <w:t>396,894.60</w:t>
            </w:r>
          </w:p>
        </w:tc>
        <w:tc>
          <w:tcPr>
            <w:tcW w:w="3526" w:type="dxa"/>
            <w:tcBorders>
              <w:top w:val="nil"/>
              <w:left w:val="nil"/>
              <w:bottom w:val="single" w:sz="4" w:space="0" w:color="auto"/>
              <w:right w:val="single" w:sz="4" w:space="0" w:color="auto"/>
            </w:tcBorders>
            <w:shd w:val="clear" w:color="000000" w:fill="FFFFFF"/>
            <w:hideMark/>
          </w:tcPr>
          <w:p w:rsidR="006F79A3" w:rsidRPr="00030F26" w:rsidRDefault="006F79A3" w:rsidP="006F79A3">
            <w:r w:rsidRPr="00030F26">
              <w:t xml:space="preserve">Certificado </w:t>
            </w:r>
            <w:proofErr w:type="spellStart"/>
            <w:r w:rsidRPr="00030F26">
              <w:t>bursatil</w:t>
            </w:r>
            <w:proofErr w:type="spellEnd"/>
            <w:r w:rsidRPr="00030F26">
              <w:t>. Ingresos Propios provenientes del Bachillerato y la Universidad del SABES.</w:t>
            </w:r>
          </w:p>
        </w:tc>
      </w:tr>
      <w:tr w:rsidR="006F79A3" w:rsidRPr="00DC5E9C" w:rsidTr="00A4048E">
        <w:trPr>
          <w:trHeight w:val="326"/>
        </w:trPr>
        <w:tc>
          <w:tcPr>
            <w:tcW w:w="5624" w:type="dxa"/>
            <w:tcBorders>
              <w:top w:val="nil"/>
              <w:left w:val="single" w:sz="4" w:space="0" w:color="auto"/>
              <w:bottom w:val="single" w:sz="4" w:space="0" w:color="auto"/>
              <w:right w:val="single" w:sz="4" w:space="0" w:color="auto"/>
            </w:tcBorders>
            <w:shd w:val="clear" w:color="000000" w:fill="BDD7EE"/>
            <w:noWrap/>
            <w:hideMark/>
          </w:tcPr>
          <w:p w:rsidR="006F79A3" w:rsidRPr="00030F26" w:rsidRDefault="006F79A3" w:rsidP="006F79A3">
            <w:r w:rsidRPr="00030F26">
              <w:t>*   12 MESES</w:t>
            </w:r>
          </w:p>
        </w:tc>
        <w:tc>
          <w:tcPr>
            <w:tcW w:w="1617" w:type="dxa"/>
            <w:tcBorders>
              <w:top w:val="nil"/>
              <w:left w:val="nil"/>
              <w:bottom w:val="single" w:sz="4" w:space="0" w:color="auto"/>
              <w:right w:val="single" w:sz="4" w:space="0" w:color="auto"/>
            </w:tcBorders>
            <w:shd w:val="clear" w:color="000000" w:fill="BDD7EE"/>
            <w:noWrap/>
            <w:hideMark/>
          </w:tcPr>
          <w:p w:rsidR="006F79A3" w:rsidRPr="00030F26" w:rsidRDefault="006F79A3" w:rsidP="006F79A3">
            <w:r w:rsidRPr="00030F26">
              <w:t xml:space="preserve">397,031.89 </w:t>
            </w:r>
          </w:p>
        </w:tc>
        <w:tc>
          <w:tcPr>
            <w:tcW w:w="2061" w:type="dxa"/>
            <w:tcBorders>
              <w:top w:val="nil"/>
              <w:left w:val="nil"/>
              <w:bottom w:val="single" w:sz="4" w:space="0" w:color="auto"/>
              <w:right w:val="single" w:sz="4" w:space="0" w:color="auto"/>
            </w:tcBorders>
            <w:shd w:val="clear" w:color="000000" w:fill="BDD7EE"/>
            <w:noWrap/>
          </w:tcPr>
          <w:p w:rsidR="006F79A3" w:rsidRPr="00A4048E" w:rsidRDefault="00A4048E" w:rsidP="00A4048E">
            <w:pPr>
              <w:spacing w:after="0" w:line="240" w:lineRule="auto"/>
              <w:rPr>
                <w:rFonts w:eastAsia="Times New Roman"/>
                <w:color w:val="000000"/>
              </w:rPr>
            </w:pPr>
            <w:r>
              <w:rPr>
                <w:color w:val="000000"/>
              </w:rPr>
              <w:t xml:space="preserve">4,718,565.40 </w:t>
            </w:r>
          </w:p>
        </w:tc>
        <w:tc>
          <w:tcPr>
            <w:tcW w:w="3526" w:type="dxa"/>
            <w:tcBorders>
              <w:top w:val="nil"/>
              <w:left w:val="nil"/>
              <w:bottom w:val="single" w:sz="4" w:space="0" w:color="auto"/>
              <w:right w:val="single" w:sz="4" w:space="0" w:color="auto"/>
            </w:tcBorders>
            <w:shd w:val="clear" w:color="000000" w:fill="BDD7EE"/>
            <w:noWrap/>
            <w:hideMark/>
          </w:tcPr>
          <w:p w:rsidR="006F79A3" w:rsidRPr="00030F26" w:rsidRDefault="006F79A3" w:rsidP="006F79A3">
            <w:r w:rsidRPr="00030F26">
              <w:t xml:space="preserve"> </w:t>
            </w:r>
          </w:p>
        </w:tc>
      </w:tr>
      <w:tr w:rsidR="006F79A3" w:rsidRPr="00DC5E9C" w:rsidTr="006F79A3">
        <w:trPr>
          <w:trHeight w:val="506"/>
        </w:trPr>
        <w:tc>
          <w:tcPr>
            <w:tcW w:w="5624" w:type="dxa"/>
            <w:tcBorders>
              <w:top w:val="nil"/>
              <w:left w:val="single" w:sz="4" w:space="0" w:color="auto"/>
              <w:bottom w:val="single" w:sz="4" w:space="0" w:color="auto"/>
              <w:right w:val="single" w:sz="4" w:space="0" w:color="auto"/>
            </w:tcBorders>
            <w:shd w:val="clear" w:color="000000" w:fill="FFFFFF"/>
            <w:noWrap/>
            <w:hideMark/>
          </w:tcPr>
          <w:p w:rsidR="006F79A3" w:rsidRPr="00030F26" w:rsidRDefault="006F79A3" w:rsidP="006F79A3">
            <w:r w:rsidRPr="00030F26">
              <w:t xml:space="preserve">    1211109001  LP IXE CASA DE BOLSA 589531</w:t>
            </w:r>
          </w:p>
        </w:tc>
        <w:tc>
          <w:tcPr>
            <w:tcW w:w="1617" w:type="dxa"/>
            <w:tcBorders>
              <w:top w:val="nil"/>
              <w:left w:val="nil"/>
              <w:bottom w:val="single" w:sz="4" w:space="0" w:color="auto"/>
              <w:right w:val="single" w:sz="4" w:space="0" w:color="auto"/>
            </w:tcBorders>
            <w:shd w:val="clear" w:color="000000" w:fill="FFFFFF"/>
            <w:noWrap/>
            <w:hideMark/>
          </w:tcPr>
          <w:p w:rsidR="006F79A3" w:rsidRPr="00030F26" w:rsidRDefault="006F79A3" w:rsidP="006F79A3">
            <w:r w:rsidRPr="00030F26">
              <w:t xml:space="preserve"> 434,453.71 </w:t>
            </w:r>
          </w:p>
        </w:tc>
        <w:tc>
          <w:tcPr>
            <w:tcW w:w="2061" w:type="dxa"/>
            <w:tcBorders>
              <w:top w:val="nil"/>
              <w:left w:val="nil"/>
              <w:bottom w:val="single" w:sz="4" w:space="0" w:color="auto"/>
              <w:right w:val="single" w:sz="4" w:space="0" w:color="auto"/>
            </w:tcBorders>
            <w:shd w:val="clear" w:color="000000" w:fill="FFFFFF"/>
            <w:noWrap/>
            <w:hideMark/>
          </w:tcPr>
          <w:p w:rsidR="006F79A3" w:rsidRPr="00030F26" w:rsidRDefault="006F79A3" w:rsidP="006F79A3">
            <w:r w:rsidRPr="00030F26">
              <w:t xml:space="preserve"> 434,453.71 </w:t>
            </w:r>
          </w:p>
        </w:tc>
        <w:tc>
          <w:tcPr>
            <w:tcW w:w="3526" w:type="dxa"/>
            <w:tcBorders>
              <w:top w:val="nil"/>
              <w:left w:val="nil"/>
              <w:bottom w:val="single" w:sz="4" w:space="0" w:color="auto"/>
              <w:right w:val="single" w:sz="4" w:space="0" w:color="auto"/>
            </w:tcBorders>
            <w:shd w:val="clear" w:color="000000" w:fill="FFFFFF"/>
            <w:hideMark/>
          </w:tcPr>
          <w:p w:rsidR="006F79A3" w:rsidRPr="00030F26" w:rsidRDefault="006F79A3" w:rsidP="006F79A3">
            <w:r w:rsidRPr="00030F26">
              <w:t xml:space="preserve">Certificado </w:t>
            </w:r>
            <w:proofErr w:type="spellStart"/>
            <w:r w:rsidRPr="00030F26">
              <w:t>bursatil</w:t>
            </w:r>
            <w:proofErr w:type="spellEnd"/>
            <w:r w:rsidRPr="00030F26">
              <w:t xml:space="preserve">. Ingresos Propios </w:t>
            </w:r>
            <w:proofErr w:type="spellStart"/>
            <w:r w:rsidRPr="00030F26">
              <w:t>provenientos</w:t>
            </w:r>
            <w:proofErr w:type="spellEnd"/>
            <w:r w:rsidRPr="00030F26">
              <w:t xml:space="preserve"> del Bachillerato y la Universidad del SABES.</w:t>
            </w:r>
          </w:p>
        </w:tc>
      </w:tr>
      <w:tr w:rsidR="006F79A3" w:rsidRPr="00DC5E9C" w:rsidTr="006F79A3">
        <w:trPr>
          <w:trHeight w:val="326"/>
        </w:trPr>
        <w:tc>
          <w:tcPr>
            <w:tcW w:w="5624" w:type="dxa"/>
            <w:tcBorders>
              <w:top w:val="nil"/>
              <w:left w:val="single" w:sz="4" w:space="0" w:color="auto"/>
              <w:bottom w:val="single" w:sz="4" w:space="0" w:color="auto"/>
              <w:right w:val="single" w:sz="4" w:space="0" w:color="auto"/>
            </w:tcBorders>
            <w:shd w:val="clear" w:color="000000" w:fill="BDD7EE"/>
            <w:noWrap/>
            <w:hideMark/>
          </w:tcPr>
          <w:p w:rsidR="006F79A3" w:rsidRPr="00030F26" w:rsidRDefault="006F79A3" w:rsidP="006F79A3">
            <w:r w:rsidRPr="00030F26">
              <w:t>*   LARGO PLAZO</w:t>
            </w:r>
          </w:p>
        </w:tc>
        <w:tc>
          <w:tcPr>
            <w:tcW w:w="1617" w:type="dxa"/>
            <w:tcBorders>
              <w:top w:val="nil"/>
              <w:left w:val="nil"/>
              <w:bottom w:val="single" w:sz="4" w:space="0" w:color="auto"/>
              <w:right w:val="single" w:sz="4" w:space="0" w:color="auto"/>
            </w:tcBorders>
            <w:shd w:val="clear" w:color="000000" w:fill="BDD7EE"/>
            <w:noWrap/>
            <w:hideMark/>
          </w:tcPr>
          <w:p w:rsidR="006F79A3" w:rsidRPr="00030F26" w:rsidRDefault="006F79A3" w:rsidP="006F79A3">
            <w:r w:rsidRPr="00030F26">
              <w:t xml:space="preserve">434,453.71 </w:t>
            </w:r>
          </w:p>
        </w:tc>
        <w:tc>
          <w:tcPr>
            <w:tcW w:w="2061" w:type="dxa"/>
            <w:tcBorders>
              <w:top w:val="nil"/>
              <w:left w:val="nil"/>
              <w:bottom w:val="single" w:sz="4" w:space="0" w:color="auto"/>
              <w:right w:val="single" w:sz="4" w:space="0" w:color="auto"/>
            </w:tcBorders>
            <w:shd w:val="clear" w:color="000000" w:fill="BDD7EE"/>
            <w:noWrap/>
            <w:hideMark/>
          </w:tcPr>
          <w:p w:rsidR="006F79A3" w:rsidRPr="00030F26" w:rsidRDefault="006F79A3" w:rsidP="006F79A3">
            <w:r w:rsidRPr="00030F26">
              <w:t xml:space="preserve">434,453.71 </w:t>
            </w:r>
          </w:p>
        </w:tc>
        <w:tc>
          <w:tcPr>
            <w:tcW w:w="3526" w:type="dxa"/>
            <w:tcBorders>
              <w:top w:val="nil"/>
              <w:left w:val="nil"/>
              <w:bottom w:val="single" w:sz="4" w:space="0" w:color="auto"/>
              <w:right w:val="single" w:sz="4" w:space="0" w:color="auto"/>
            </w:tcBorders>
            <w:shd w:val="clear" w:color="000000" w:fill="BDD7EE"/>
            <w:noWrap/>
            <w:hideMark/>
          </w:tcPr>
          <w:p w:rsidR="006F79A3" w:rsidRPr="00030F26" w:rsidRDefault="006F79A3" w:rsidP="006F79A3">
            <w:r w:rsidRPr="00030F26">
              <w:t xml:space="preserve"> </w:t>
            </w:r>
          </w:p>
        </w:tc>
      </w:tr>
      <w:tr w:rsidR="00A4048E" w:rsidRPr="00DC5E9C" w:rsidTr="003B39F3">
        <w:trPr>
          <w:trHeight w:val="326"/>
        </w:trPr>
        <w:tc>
          <w:tcPr>
            <w:tcW w:w="5624" w:type="dxa"/>
            <w:tcBorders>
              <w:top w:val="nil"/>
              <w:left w:val="single" w:sz="4" w:space="0" w:color="auto"/>
              <w:bottom w:val="single" w:sz="4" w:space="0" w:color="auto"/>
              <w:right w:val="single" w:sz="4" w:space="0" w:color="auto"/>
            </w:tcBorders>
            <w:shd w:val="clear" w:color="000000" w:fill="2F75B5"/>
            <w:noWrap/>
            <w:hideMark/>
          </w:tcPr>
          <w:p w:rsidR="00A4048E" w:rsidRPr="00030F26" w:rsidRDefault="00A4048E" w:rsidP="00A4048E">
            <w:r w:rsidRPr="00030F26">
              <w:t xml:space="preserve"> **  TOTAL INVERSIONES FINANCIERAS </w:t>
            </w:r>
          </w:p>
        </w:tc>
        <w:tc>
          <w:tcPr>
            <w:tcW w:w="1617" w:type="dxa"/>
            <w:tcBorders>
              <w:top w:val="nil"/>
              <w:left w:val="nil"/>
              <w:bottom w:val="single" w:sz="4" w:space="0" w:color="auto"/>
              <w:right w:val="single" w:sz="4" w:space="0" w:color="auto"/>
            </w:tcBorders>
            <w:shd w:val="clear" w:color="000000" w:fill="2F75B5"/>
            <w:noWrap/>
            <w:vAlign w:val="bottom"/>
            <w:hideMark/>
          </w:tcPr>
          <w:p w:rsidR="00A4048E" w:rsidRDefault="00A4048E" w:rsidP="00A4048E">
            <w:pPr>
              <w:spacing w:after="0" w:line="240" w:lineRule="auto"/>
              <w:rPr>
                <w:rFonts w:ascii="Arial" w:eastAsia="Times New Roman" w:hAnsi="Arial" w:cs="Arial"/>
                <w:b/>
                <w:bCs/>
                <w:color w:val="FFFFFF"/>
              </w:rPr>
            </w:pPr>
            <w:r>
              <w:rPr>
                <w:rFonts w:ascii="Arial" w:hAnsi="Arial" w:cs="Arial"/>
                <w:b/>
                <w:bCs/>
                <w:color w:val="FFFFFF"/>
              </w:rPr>
              <w:t xml:space="preserve">    831,485.60 </w:t>
            </w:r>
          </w:p>
          <w:p w:rsidR="00A4048E" w:rsidRDefault="00A4048E" w:rsidP="00A4048E">
            <w:pPr>
              <w:spacing w:after="0" w:line="240" w:lineRule="auto"/>
              <w:rPr>
                <w:rFonts w:ascii="Arial" w:eastAsia="Times New Roman" w:hAnsi="Arial" w:cs="Arial"/>
                <w:b/>
                <w:bCs/>
                <w:color w:val="FFFFFF"/>
              </w:rPr>
            </w:pPr>
          </w:p>
        </w:tc>
        <w:tc>
          <w:tcPr>
            <w:tcW w:w="2061" w:type="dxa"/>
            <w:tcBorders>
              <w:top w:val="nil"/>
              <w:left w:val="nil"/>
              <w:bottom w:val="single" w:sz="4" w:space="0" w:color="auto"/>
              <w:right w:val="single" w:sz="4" w:space="0" w:color="auto"/>
            </w:tcBorders>
            <w:shd w:val="clear" w:color="000000" w:fill="2F75B5"/>
            <w:noWrap/>
            <w:vAlign w:val="bottom"/>
            <w:hideMark/>
          </w:tcPr>
          <w:p w:rsidR="00A4048E" w:rsidRDefault="00A4048E" w:rsidP="00A4048E">
            <w:pPr>
              <w:spacing w:after="0" w:line="240" w:lineRule="auto"/>
              <w:rPr>
                <w:rFonts w:ascii="Arial" w:eastAsia="Times New Roman" w:hAnsi="Arial" w:cs="Arial"/>
                <w:b/>
                <w:bCs/>
                <w:color w:val="FFFFFF"/>
              </w:rPr>
            </w:pPr>
            <w:r>
              <w:rPr>
                <w:rFonts w:ascii="Arial" w:hAnsi="Arial" w:cs="Arial"/>
                <w:b/>
                <w:bCs/>
                <w:color w:val="FFFFFF"/>
              </w:rPr>
              <w:t xml:space="preserve"> </w:t>
            </w:r>
          </w:p>
          <w:p w:rsidR="00A4048E" w:rsidRDefault="00A4048E" w:rsidP="00A4048E">
            <w:pPr>
              <w:rPr>
                <w:rFonts w:ascii="Arial" w:hAnsi="Arial" w:cs="Arial"/>
                <w:b/>
                <w:bCs/>
                <w:color w:val="FFFFFF"/>
              </w:rPr>
            </w:pPr>
            <w:r>
              <w:rPr>
                <w:rFonts w:ascii="Arial" w:hAnsi="Arial" w:cs="Arial"/>
                <w:b/>
                <w:bCs/>
                <w:color w:val="FFFFFF"/>
              </w:rPr>
              <w:t>5,153,019.11</w:t>
            </w:r>
          </w:p>
        </w:tc>
        <w:tc>
          <w:tcPr>
            <w:tcW w:w="3526" w:type="dxa"/>
            <w:tcBorders>
              <w:top w:val="nil"/>
              <w:left w:val="nil"/>
              <w:bottom w:val="single" w:sz="4" w:space="0" w:color="auto"/>
              <w:right w:val="single" w:sz="4" w:space="0" w:color="auto"/>
            </w:tcBorders>
            <w:shd w:val="clear" w:color="000000" w:fill="2F75B5"/>
            <w:noWrap/>
            <w:hideMark/>
          </w:tcPr>
          <w:p w:rsidR="00A4048E" w:rsidRDefault="00A4048E" w:rsidP="00A4048E">
            <w:r w:rsidRPr="00030F26">
              <w:t xml:space="preserve"> -   </w:t>
            </w:r>
          </w:p>
        </w:tc>
      </w:tr>
    </w:tbl>
    <w:p w:rsidR="00047625" w:rsidRDefault="00047625" w:rsidP="00047625">
      <w:pPr>
        <w:jc w:val="both"/>
        <w:rPr>
          <w:rFonts w:ascii="Arial" w:hAnsi="Arial" w:cs="Arial"/>
          <w:sz w:val="20"/>
          <w:szCs w:val="20"/>
        </w:rPr>
      </w:pPr>
    </w:p>
    <w:p w:rsidR="00047625" w:rsidRDefault="00047625" w:rsidP="00047625">
      <w:pPr>
        <w:ind w:left="720"/>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bookmarkStart w:id="0" w:name="_GoBack"/>
      <w:bookmarkEnd w:id="0"/>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sz w:val="20"/>
          <w:szCs w:val="20"/>
        </w:rPr>
      </w:pPr>
      <w:r w:rsidRPr="0043089C">
        <w:rPr>
          <w:rFonts w:ascii="Arial" w:hAnsi="Arial" w:cs="Arial"/>
          <w:b/>
          <w:sz w:val="20"/>
          <w:szCs w:val="20"/>
        </w:rPr>
        <w:t>10. Reporte de la Recaudación:</w:t>
      </w:r>
      <w:r w:rsidRPr="001B152C">
        <w:rPr>
          <w:rFonts w:ascii="Arial" w:hAnsi="Arial" w:cs="Arial"/>
          <w:b/>
          <w:sz w:val="20"/>
          <w:szCs w:val="20"/>
        </w:rPr>
        <w:tab/>
      </w:r>
    </w:p>
    <w:p w:rsidR="00047625" w:rsidRDefault="00047625" w:rsidP="00047625">
      <w:pPr>
        <w:numPr>
          <w:ilvl w:val="0"/>
          <w:numId w:val="6"/>
        </w:num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C66F50" w:rsidRDefault="00C66F50" w:rsidP="00C66F50">
      <w:pPr>
        <w:jc w:val="both"/>
        <w:rPr>
          <w:rFonts w:ascii="Arial" w:hAnsi="Arial" w:cs="Arial"/>
          <w:sz w:val="20"/>
          <w:szCs w:val="20"/>
        </w:rPr>
      </w:pPr>
      <w:r w:rsidRPr="00C66F50">
        <w:rPr>
          <w:noProof/>
          <w:lang w:eastAsia="es-MX"/>
        </w:rPr>
        <w:drawing>
          <wp:anchor distT="0" distB="0" distL="114300" distR="114300" simplePos="0" relativeHeight="251658240" behindDoc="0" locked="0" layoutInCell="1" allowOverlap="1">
            <wp:simplePos x="0" y="0"/>
            <wp:positionH relativeFrom="column">
              <wp:posOffset>424180</wp:posOffset>
            </wp:positionH>
            <wp:positionV relativeFrom="paragraph">
              <wp:posOffset>25400</wp:posOffset>
            </wp:positionV>
            <wp:extent cx="4238625" cy="487681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4876813"/>
                    </a:xfrm>
                    <a:prstGeom prst="rect">
                      <a:avLst/>
                    </a:prstGeom>
                    <a:noFill/>
                    <a:ln>
                      <a:noFill/>
                    </a:ln>
                  </pic:spPr>
                </pic:pic>
              </a:graphicData>
            </a:graphic>
          </wp:anchor>
        </w:drawing>
      </w:r>
    </w:p>
    <w:p w:rsidR="00C66F50" w:rsidRDefault="00C66F50" w:rsidP="00C66F50">
      <w:pPr>
        <w:jc w:val="both"/>
        <w:rPr>
          <w:rFonts w:ascii="Arial" w:hAnsi="Arial" w:cs="Arial"/>
          <w:sz w:val="20"/>
          <w:szCs w:val="20"/>
        </w:rPr>
      </w:pPr>
    </w:p>
    <w:p w:rsidR="00C66F50" w:rsidRDefault="00C66F50" w:rsidP="00C66F50">
      <w:pPr>
        <w:jc w:val="both"/>
        <w:rPr>
          <w:rFonts w:ascii="Arial" w:hAnsi="Arial" w:cs="Arial"/>
          <w:sz w:val="20"/>
          <w:szCs w:val="20"/>
        </w:rPr>
      </w:pPr>
    </w:p>
    <w:p w:rsidR="00C66F50" w:rsidRDefault="00C66F50" w:rsidP="00C66F50">
      <w:pPr>
        <w:jc w:val="both"/>
        <w:rPr>
          <w:rFonts w:ascii="Arial" w:hAnsi="Arial" w:cs="Arial"/>
          <w:sz w:val="20"/>
          <w:szCs w:val="20"/>
        </w:rPr>
      </w:pPr>
    </w:p>
    <w:p w:rsidR="00C66F50" w:rsidRDefault="00C66F50" w:rsidP="00C66F50">
      <w:pPr>
        <w:jc w:val="both"/>
        <w:rPr>
          <w:rFonts w:ascii="Arial" w:hAnsi="Arial" w:cs="Arial"/>
          <w:sz w:val="20"/>
          <w:szCs w:val="20"/>
        </w:rPr>
      </w:pPr>
    </w:p>
    <w:p w:rsidR="00C66F50" w:rsidRDefault="00C66F50" w:rsidP="00C66F50">
      <w:pPr>
        <w:jc w:val="both"/>
        <w:rPr>
          <w:rFonts w:ascii="Arial" w:hAnsi="Arial" w:cs="Arial"/>
          <w:sz w:val="20"/>
          <w:szCs w:val="20"/>
        </w:rPr>
      </w:pPr>
    </w:p>
    <w:p w:rsidR="00C66F50" w:rsidRDefault="00C66F50" w:rsidP="00C66F50">
      <w:pPr>
        <w:jc w:val="both"/>
        <w:rPr>
          <w:rFonts w:ascii="Arial" w:hAnsi="Arial" w:cs="Arial"/>
          <w:sz w:val="20"/>
          <w:szCs w:val="20"/>
        </w:rPr>
      </w:pPr>
    </w:p>
    <w:p w:rsidR="00C66F50" w:rsidRDefault="00C66F50" w:rsidP="00C66F50">
      <w:pPr>
        <w:jc w:val="both"/>
        <w:rPr>
          <w:rFonts w:ascii="Arial" w:hAnsi="Arial" w:cs="Arial"/>
          <w:sz w:val="20"/>
          <w:szCs w:val="20"/>
        </w:rPr>
      </w:pPr>
    </w:p>
    <w:p w:rsidR="00C66F50" w:rsidRDefault="00C66F50" w:rsidP="00C66F50">
      <w:pPr>
        <w:jc w:val="both"/>
        <w:rPr>
          <w:rFonts w:ascii="Arial" w:hAnsi="Arial" w:cs="Arial"/>
          <w:sz w:val="20"/>
          <w:szCs w:val="20"/>
        </w:rPr>
      </w:pPr>
    </w:p>
    <w:p w:rsidR="00C66F50" w:rsidRDefault="00C66F50" w:rsidP="00C66F50">
      <w:pPr>
        <w:jc w:val="both"/>
        <w:rPr>
          <w:rFonts w:ascii="Arial" w:hAnsi="Arial" w:cs="Arial"/>
          <w:sz w:val="20"/>
          <w:szCs w:val="20"/>
        </w:rPr>
      </w:pPr>
    </w:p>
    <w:p w:rsidR="00C66F50" w:rsidRDefault="00C66F50" w:rsidP="00C66F50">
      <w:pPr>
        <w:jc w:val="both"/>
        <w:rPr>
          <w:rFonts w:ascii="Arial" w:hAnsi="Arial" w:cs="Arial"/>
          <w:sz w:val="20"/>
          <w:szCs w:val="20"/>
        </w:rPr>
      </w:pPr>
    </w:p>
    <w:p w:rsidR="00C66F50" w:rsidRDefault="00C66F50" w:rsidP="00C66F50">
      <w:pPr>
        <w:jc w:val="both"/>
        <w:rPr>
          <w:rFonts w:ascii="Arial" w:hAnsi="Arial" w:cs="Arial"/>
          <w:sz w:val="20"/>
          <w:szCs w:val="20"/>
        </w:rPr>
      </w:pPr>
    </w:p>
    <w:p w:rsidR="00C66F50" w:rsidRDefault="00C66F50" w:rsidP="00C66F50">
      <w:pPr>
        <w:jc w:val="both"/>
        <w:rPr>
          <w:rFonts w:ascii="Arial" w:hAnsi="Arial" w:cs="Arial"/>
          <w:sz w:val="20"/>
          <w:szCs w:val="20"/>
        </w:rPr>
      </w:pPr>
    </w:p>
    <w:p w:rsidR="00096739" w:rsidRDefault="00096739" w:rsidP="00096739">
      <w:pPr>
        <w:jc w:val="both"/>
        <w:rPr>
          <w:rFonts w:ascii="Arial" w:hAnsi="Arial" w:cs="Arial"/>
          <w:sz w:val="20"/>
          <w:szCs w:val="20"/>
        </w:rPr>
      </w:pPr>
    </w:p>
    <w:p w:rsidR="00096739" w:rsidRDefault="00096739" w:rsidP="00096739">
      <w:pPr>
        <w:jc w:val="both"/>
        <w:rPr>
          <w:rFonts w:ascii="Arial" w:hAnsi="Arial" w:cs="Arial"/>
          <w:sz w:val="20"/>
          <w:szCs w:val="20"/>
        </w:rPr>
      </w:pPr>
    </w:p>
    <w:p w:rsidR="00096739" w:rsidRDefault="00096739" w:rsidP="00096739">
      <w:pPr>
        <w:jc w:val="both"/>
        <w:rPr>
          <w:rFonts w:ascii="Arial" w:hAnsi="Arial" w:cs="Arial"/>
          <w:sz w:val="20"/>
          <w:szCs w:val="20"/>
        </w:rPr>
      </w:pPr>
    </w:p>
    <w:p w:rsidR="00096739" w:rsidRDefault="00096739" w:rsidP="00096739">
      <w:pPr>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047625" w:rsidRDefault="00C66F50" w:rsidP="00047625">
      <w:pPr>
        <w:ind w:left="360"/>
        <w:jc w:val="both"/>
        <w:rPr>
          <w:rFonts w:ascii="Arial" w:hAnsi="Arial" w:cs="Arial"/>
          <w:sz w:val="20"/>
          <w:szCs w:val="20"/>
        </w:rPr>
      </w:pPr>
      <w:r w:rsidRPr="00C66F50">
        <w:rPr>
          <w:noProof/>
          <w:lang w:eastAsia="es-MX"/>
        </w:rPr>
        <w:drawing>
          <wp:inline distT="0" distB="0" distL="0" distR="0">
            <wp:extent cx="4286250" cy="492918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358" cy="4930462"/>
                    </a:xfrm>
                    <a:prstGeom prst="rect">
                      <a:avLst/>
                    </a:prstGeom>
                    <a:noFill/>
                    <a:ln>
                      <a:noFill/>
                    </a:ln>
                  </pic:spPr>
                </pic:pic>
              </a:graphicData>
            </a:graphic>
          </wp:inline>
        </w:drawing>
      </w:r>
    </w:p>
    <w:p w:rsidR="00047625" w:rsidRDefault="00047625" w:rsidP="00047625">
      <w:pPr>
        <w:jc w:val="both"/>
        <w:rPr>
          <w:szCs w:val="20"/>
        </w:rPr>
      </w:pPr>
    </w:p>
    <w:p w:rsidR="00047625" w:rsidRDefault="00047625" w:rsidP="00047625">
      <w:pPr>
        <w:jc w:val="both"/>
        <w:rPr>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Se anexara la información en las notas de desglose.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las  cifras reflejadas en los estados financieros y presupuestales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047625" w:rsidRDefault="00047625"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 xml:space="preserve">Como medida de desempeño financiero se </w:t>
      </w:r>
      <w:proofErr w:type="spellStart"/>
      <w:r w:rsidRPr="00A37451">
        <w:rPr>
          <w:rFonts w:ascii="Arial" w:hAnsi="Arial" w:cs="Arial"/>
          <w:sz w:val="20"/>
          <w:szCs w:val="20"/>
          <w:u w:val="single"/>
        </w:rPr>
        <w:t>aperturaron</w:t>
      </w:r>
      <w:proofErr w:type="spellEnd"/>
      <w:r w:rsidRPr="00A37451">
        <w:rPr>
          <w:rFonts w:ascii="Arial" w:hAnsi="Arial" w:cs="Arial"/>
          <w:sz w:val="20"/>
          <w:szCs w:val="20"/>
          <w:u w:val="single"/>
        </w:rPr>
        <w:t xml:space="preserve">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Pr="00916986"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 xml:space="preserve">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w:t>
      </w:r>
      <w:proofErr w:type="spellStart"/>
      <w:r w:rsidRPr="00916986">
        <w:rPr>
          <w:rFonts w:ascii="Arial" w:hAnsi="Arial" w:cs="Arial"/>
          <w:sz w:val="20"/>
          <w:szCs w:val="20"/>
          <w:u w:val="single"/>
        </w:rPr>
        <w:t>análisis.Como</w:t>
      </w:r>
      <w:proofErr w:type="spellEnd"/>
      <w:r w:rsidRPr="00916986">
        <w:rPr>
          <w:rFonts w:ascii="Arial" w:hAnsi="Arial" w:cs="Arial"/>
          <w:sz w:val="20"/>
          <w:szCs w:val="20"/>
          <w:u w:val="single"/>
        </w:rPr>
        <w:t xml:space="preserve"> medida para la eficiencia terminal del bachillerato se toma el número de estudiantes egresados de la generación N, con relación al número de estudiantes de nuevo ingreso de la generación </w:t>
      </w:r>
      <w:proofErr w:type="spellStart"/>
      <w:r w:rsidRPr="00916986">
        <w:rPr>
          <w:rFonts w:ascii="Arial" w:hAnsi="Arial" w:cs="Arial"/>
          <w:sz w:val="20"/>
          <w:szCs w:val="20"/>
          <w:u w:val="single"/>
        </w:rPr>
        <w:t>N.En</w:t>
      </w:r>
      <w:proofErr w:type="spellEnd"/>
      <w:r w:rsidRPr="00916986">
        <w:rPr>
          <w:rFonts w:ascii="Arial" w:hAnsi="Arial" w:cs="Arial"/>
          <w:sz w:val="20"/>
          <w:szCs w:val="20"/>
          <w:u w:val="single"/>
        </w:rPr>
        <w:t xml:space="preserve"> la universidad se mide el porcentaje de aprobación considerando el número de estudiantes aprobados al final del ciclo  con relación al número de estudiantes existentes al  final del ciclo.</w:t>
      </w:r>
    </w:p>
    <w:p w:rsidR="00C66F50" w:rsidRDefault="00C66F50"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047625" w:rsidRDefault="00047625" w:rsidP="00047625">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B42B8">
        <w:rPr>
          <w:rFonts w:ascii="Times New Roman" w:eastAsia="Times New Roman" w:hAnsi="Times New Roman"/>
          <w:sz w:val="24"/>
          <w:szCs w:val="18"/>
          <w:lang w:val="es-ES" w:eastAsia="es-ES"/>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75pt;height:39.75pt" o:ole="">
            <v:imagedata r:id="rId11" o:title=""/>
          </v:shape>
          <o:OLEObject Type="Embed" ProgID="Excel.Sheet.12" ShapeID="_x0000_i1025" DrawAspect="Content" ObjectID="_1577455878" r:id="rId12"/>
        </w:object>
      </w:r>
      <w:r>
        <w:rPr>
          <w:noProof/>
          <w:lang w:eastAsia="es-MX"/>
        </w:rPr>
        <w:t xml:space="preserve">             </w:t>
      </w:r>
      <w:r w:rsidRPr="0030393A">
        <w:rPr>
          <w:rFonts w:ascii="Arial" w:hAnsi="Arial" w:cs="Arial"/>
          <w:sz w:val="20"/>
          <w:szCs w:val="20"/>
        </w:rPr>
        <w:t>“Bajo protesta de decir verdad declaramos que los Estados Financieros y sus notas, son razonablemente correctos y son responsabilidad del emisor.</w:t>
      </w:r>
      <w:r w:rsidRPr="0030393A">
        <w:rPr>
          <w:rFonts w:ascii="Arial" w:hAnsi="Arial" w:cs="Arial"/>
          <w:sz w:val="20"/>
          <w:szCs w:val="20"/>
        </w:rPr>
        <w:tab/>
      </w:r>
    </w:p>
    <w:p w:rsidR="00517051" w:rsidRDefault="00517051"/>
    <w:sectPr w:rsidR="00517051" w:rsidSect="008D2B77">
      <w:headerReference w:type="default" r:id="rId13"/>
      <w:footerReference w:type="default" r:id="rId14"/>
      <w:pgSz w:w="15840" w:h="12240" w:orient="landscape"/>
      <w:pgMar w:top="1701" w:right="1417" w:bottom="1701" w:left="1417"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9D" w:rsidRDefault="006D35B5">
      <w:pPr>
        <w:spacing w:after="0" w:line="240" w:lineRule="auto"/>
      </w:pPr>
      <w:r>
        <w:separator/>
      </w:r>
    </w:p>
  </w:endnote>
  <w:endnote w:type="continuationSeparator" w:id="0">
    <w:p w:rsidR="00FC1A9D" w:rsidRDefault="006D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A" w:rsidRDefault="00EB2781">
    <w:pPr>
      <w:pStyle w:val="Piedepgina"/>
      <w:jc w:val="right"/>
    </w:pPr>
    <w:r>
      <w:fldChar w:fldCharType="begin"/>
    </w:r>
    <w:r>
      <w:instrText>PAGE   \* MERGEFORMAT</w:instrText>
    </w:r>
    <w:r>
      <w:fldChar w:fldCharType="separate"/>
    </w:r>
    <w:r w:rsidR="00A4048E" w:rsidRPr="00A4048E">
      <w:rPr>
        <w:noProof/>
        <w:lang w:val="es-ES"/>
      </w:rPr>
      <w:t>49</w:t>
    </w:r>
    <w:r>
      <w:fldChar w:fldCharType="end"/>
    </w:r>
  </w:p>
  <w:p w:rsidR="00723817" w:rsidRDefault="00A4048E" w:rsidP="0072381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9D" w:rsidRDefault="006D35B5">
      <w:pPr>
        <w:spacing w:after="0" w:line="240" w:lineRule="auto"/>
      </w:pPr>
      <w:r>
        <w:separator/>
      </w:r>
    </w:p>
  </w:footnote>
  <w:footnote w:type="continuationSeparator" w:id="0">
    <w:p w:rsidR="00FC1A9D" w:rsidRDefault="006D3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47625"/>
    <w:rsid w:val="00096739"/>
    <w:rsid w:val="00131C72"/>
    <w:rsid w:val="001A153B"/>
    <w:rsid w:val="00232069"/>
    <w:rsid w:val="00517051"/>
    <w:rsid w:val="005B42B8"/>
    <w:rsid w:val="006B0AF3"/>
    <w:rsid w:val="006D35B5"/>
    <w:rsid w:val="006F79A3"/>
    <w:rsid w:val="009134D1"/>
    <w:rsid w:val="009904E0"/>
    <w:rsid w:val="00A4048E"/>
    <w:rsid w:val="00B711A5"/>
    <w:rsid w:val="00BD27F8"/>
    <w:rsid w:val="00C66F50"/>
    <w:rsid w:val="00DC5E9C"/>
    <w:rsid w:val="00EB2781"/>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8474">
      <w:bodyDiv w:val="1"/>
      <w:marLeft w:val="0"/>
      <w:marRight w:val="0"/>
      <w:marTop w:val="0"/>
      <w:marBottom w:val="0"/>
      <w:divBdr>
        <w:top w:val="none" w:sz="0" w:space="0" w:color="auto"/>
        <w:left w:val="none" w:sz="0" w:space="0" w:color="auto"/>
        <w:bottom w:val="none" w:sz="0" w:space="0" w:color="auto"/>
        <w:right w:val="none" w:sz="0" w:space="0" w:color="auto"/>
      </w:divBdr>
    </w:div>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46840163">
      <w:bodyDiv w:val="1"/>
      <w:marLeft w:val="0"/>
      <w:marRight w:val="0"/>
      <w:marTop w:val="0"/>
      <w:marBottom w:val="0"/>
      <w:divBdr>
        <w:top w:val="none" w:sz="0" w:space="0" w:color="auto"/>
        <w:left w:val="none" w:sz="0" w:space="0" w:color="auto"/>
        <w:bottom w:val="none" w:sz="0" w:space="0" w:color="auto"/>
        <w:right w:val="none" w:sz="0" w:space="0" w:color="auto"/>
      </w:divBdr>
    </w:div>
    <w:div w:id="707291462">
      <w:bodyDiv w:val="1"/>
      <w:marLeft w:val="0"/>
      <w:marRight w:val="0"/>
      <w:marTop w:val="0"/>
      <w:marBottom w:val="0"/>
      <w:divBdr>
        <w:top w:val="none" w:sz="0" w:space="0" w:color="auto"/>
        <w:left w:val="none" w:sz="0" w:space="0" w:color="auto"/>
        <w:bottom w:val="none" w:sz="0" w:space="0" w:color="auto"/>
        <w:right w:val="none" w:sz="0" w:space="0" w:color="auto"/>
      </w:divBdr>
    </w:div>
    <w:div w:id="771433414">
      <w:bodyDiv w:val="1"/>
      <w:marLeft w:val="0"/>
      <w:marRight w:val="0"/>
      <w:marTop w:val="0"/>
      <w:marBottom w:val="0"/>
      <w:divBdr>
        <w:top w:val="none" w:sz="0" w:space="0" w:color="auto"/>
        <w:left w:val="none" w:sz="0" w:space="0" w:color="auto"/>
        <w:bottom w:val="none" w:sz="0" w:space="0" w:color="auto"/>
        <w:right w:val="none" w:sz="0" w:space="0" w:color="auto"/>
      </w:divBdr>
    </w:div>
    <w:div w:id="804616306">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Hoja_de_c_lculo_de_Microsoft_Excel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2458</Words>
  <Characters>13524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HERNANDEZ ESPINOS MA DE LOURDES</cp:lastModifiedBy>
  <cp:revision>5</cp:revision>
  <cp:lastPrinted>2018-01-14T23:24:00Z</cp:lastPrinted>
  <dcterms:created xsi:type="dcterms:W3CDTF">2018-01-14T18:13:00Z</dcterms:created>
  <dcterms:modified xsi:type="dcterms:W3CDTF">2018-01-14T23:25:00Z</dcterms:modified>
</cp:coreProperties>
</file>