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 xml:space="preserve">25 </w:t>
      </w:r>
      <w:proofErr w:type="gramStart"/>
      <w:r w:rsidRPr="00777DCA">
        <w:rPr>
          <w:rFonts w:ascii="Arial" w:hAnsi="Arial" w:cs="Arial"/>
          <w:sz w:val="20"/>
          <w:szCs w:val="20"/>
          <w:u w:val="single"/>
        </w:rPr>
        <w:t xml:space="preserve">de  </w:t>
      </w:r>
      <w:proofErr w:type="spellStart"/>
      <w:r w:rsidRPr="00777DCA">
        <w:rPr>
          <w:rFonts w:ascii="Arial" w:hAnsi="Arial" w:cs="Arial"/>
          <w:sz w:val="20"/>
          <w:szCs w:val="20"/>
          <w:u w:val="single"/>
        </w:rPr>
        <w:t>de</w:t>
      </w:r>
      <w:proofErr w:type="spellEnd"/>
      <w:proofErr w:type="gramEnd"/>
      <w:r w:rsidRPr="00777DCA">
        <w:rPr>
          <w:rFonts w:ascii="Arial" w:hAnsi="Arial" w:cs="Arial"/>
          <w:sz w:val="20"/>
          <w:szCs w:val="20"/>
          <w:u w:val="single"/>
        </w:rPr>
        <w:t xml:space="preserv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proofErr w:type="gramStart"/>
      <w:r w:rsidRPr="0030393A">
        <w:rPr>
          <w:rFonts w:ascii="Arial" w:hAnsi="Arial" w:cs="Arial"/>
          <w:sz w:val="20"/>
          <w:szCs w:val="20"/>
        </w:rPr>
        <w:t>mencionar</w:t>
      </w:r>
      <w:proofErr w:type="gramEnd"/>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proofErr w:type="gramStart"/>
      <w:r>
        <w:rPr>
          <w:rFonts w:ascii="Arial" w:hAnsi="Arial" w:cs="Arial"/>
          <w:sz w:val="20"/>
          <w:szCs w:val="20"/>
          <w:u w:val="single"/>
        </w:rPr>
        <w:t>Diciembre</w:t>
      </w:r>
      <w:proofErr w:type="gramEnd"/>
      <w:r>
        <w:rPr>
          <w:rFonts w:ascii="Arial" w:hAnsi="Arial" w:cs="Arial"/>
          <w:sz w:val="20"/>
          <w:szCs w:val="20"/>
          <w:u w:val="single"/>
        </w:rPr>
        <w:t xml:space="preserve"> de 201</w:t>
      </w:r>
      <w:r w:rsidR="009473BD">
        <w:rPr>
          <w:rFonts w:ascii="Arial" w:hAnsi="Arial" w:cs="Arial"/>
          <w:sz w:val="20"/>
          <w:szCs w:val="20"/>
          <w:u w:val="single"/>
        </w:rPr>
        <w:t>9</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lastRenderedPageBreak/>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proofErr w:type="gramStart"/>
      <w:r>
        <w:rPr>
          <w:rFonts w:ascii="Arial" w:hAnsi="Arial" w:cs="Arial"/>
          <w:sz w:val="20"/>
          <w:szCs w:val="20"/>
          <w:u w:val="single"/>
        </w:rPr>
        <w:t>ejemplo</w:t>
      </w:r>
      <w:proofErr w:type="gramEnd"/>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aplican los Postulados Básicos de Registro Contable, el devengo del ingreso, entre otros, aún se encuentra en fase de desarrollo algunos </w:t>
      </w:r>
      <w:proofErr w:type="gramStart"/>
      <w:r>
        <w:rPr>
          <w:rFonts w:ascii="Arial" w:hAnsi="Arial" w:cs="Arial"/>
          <w:sz w:val="20"/>
          <w:szCs w:val="20"/>
          <w:u w:val="single"/>
        </w:rPr>
        <w:t>de  los</w:t>
      </w:r>
      <w:proofErr w:type="gramEnd"/>
      <w:r>
        <w:rPr>
          <w:rFonts w:ascii="Arial" w:hAnsi="Arial" w:cs="Arial"/>
          <w:sz w:val="20"/>
          <w:szCs w:val="20"/>
          <w:u w:val="single"/>
        </w:rPr>
        <w:t xml:space="preserve">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vez estén implementando </w:t>
      </w:r>
      <w:proofErr w:type="gramStart"/>
      <w:r w:rsidRPr="0030393A">
        <w:rPr>
          <w:rFonts w:ascii="Arial" w:hAnsi="Arial" w:cs="Arial"/>
          <w:sz w:val="20"/>
          <w:szCs w:val="20"/>
        </w:rPr>
        <w:t>la base devengado</w:t>
      </w:r>
      <w:proofErr w:type="gramEnd"/>
      <w:r w:rsidRPr="0030393A">
        <w:rPr>
          <w:rFonts w:ascii="Arial" w:hAnsi="Arial" w:cs="Arial"/>
          <w:sz w:val="20"/>
          <w:szCs w:val="20"/>
        </w:rPr>
        <w:t xml:space="preserve">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 xml:space="preserve">d) Sistema y método de valuación de inventarios y costo de lo </w:t>
      </w:r>
      <w:proofErr w:type="gramStart"/>
      <w:r w:rsidRPr="0030393A">
        <w:rPr>
          <w:rFonts w:ascii="Arial" w:hAnsi="Arial" w:cs="Arial"/>
          <w:sz w:val="20"/>
          <w:szCs w:val="20"/>
        </w:rPr>
        <w:t>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w:t>
      </w:r>
      <w:proofErr w:type="gramEnd"/>
      <w:r>
        <w:rPr>
          <w:rFonts w:ascii="Arial" w:hAnsi="Arial" w:cs="Arial"/>
          <w:sz w:val="20"/>
          <w:szCs w:val="20"/>
          <w:u w:val="single"/>
        </w:rPr>
        <w:t xml:space="preserve">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D1283C">
        <w:rPr>
          <w:rFonts w:ascii="Arial" w:hAnsi="Arial" w:cs="Arial"/>
          <w:sz w:val="20"/>
          <w:szCs w:val="20"/>
          <w:u w:val="single"/>
          <w:lang w:val="es-ES"/>
        </w:rPr>
        <w:t>Monto para el Ejercicio 201</w:t>
      </w:r>
      <w:r w:rsidR="004049C8">
        <w:rPr>
          <w:rFonts w:ascii="Arial" w:hAnsi="Arial" w:cs="Arial"/>
          <w:sz w:val="20"/>
          <w:szCs w:val="20"/>
          <w:u w:val="single"/>
          <w:lang w:val="es-ES"/>
        </w:rPr>
        <w:t>9</w:t>
      </w:r>
      <w:r w:rsidRPr="00D1283C">
        <w:rPr>
          <w:rFonts w:ascii="Arial" w:hAnsi="Arial" w:cs="Arial"/>
          <w:sz w:val="20"/>
          <w:szCs w:val="20"/>
          <w:u w:val="single"/>
          <w:lang w:val="es-ES"/>
        </w:rPr>
        <w:t xml:space="preserve"> $</w:t>
      </w:r>
      <w:r w:rsidR="00232069" w:rsidRPr="00D1283C">
        <w:rPr>
          <w:rFonts w:ascii="Arial" w:hAnsi="Arial" w:cs="Arial"/>
          <w:sz w:val="20"/>
          <w:szCs w:val="20"/>
          <w:u w:val="single"/>
          <w:lang w:val="es-ES"/>
        </w:rPr>
        <w:t>5</w:t>
      </w:r>
      <w:r w:rsidR="009473BD">
        <w:rPr>
          <w:rFonts w:ascii="Arial" w:hAnsi="Arial" w:cs="Arial"/>
          <w:sz w:val="20"/>
          <w:szCs w:val="20"/>
          <w:u w:val="single"/>
          <w:lang w:val="es-ES"/>
        </w:rPr>
        <w:t>6</w:t>
      </w:r>
      <w:r w:rsidRPr="00D1283C">
        <w:rPr>
          <w:rFonts w:ascii="Arial" w:hAnsi="Arial" w:cs="Arial"/>
          <w:sz w:val="20"/>
          <w:szCs w:val="20"/>
          <w:u w:val="single"/>
          <w:lang w:val="es-ES"/>
        </w:rPr>
        <w:t>,775,405.00</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Pr="009E2EFA" w:rsidRDefault="00A55184" w:rsidP="00047625">
      <w:pPr>
        <w:jc w:val="both"/>
        <w:rPr>
          <w:rFonts w:ascii="Arial" w:hAnsi="Arial" w:cs="Arial"/>
          <w:sz w:val="20"/>
          <w:szCs w:val="20"/>
          <w:u w:val="single"/>
        </w:rPr>
      </w:pPr>
      <w:r w:rsidRPr="00A55184">
        <w:rPr>
          <w:rFonts w:ascii="Arial" w:hAnsi="Arial" w:cs="Arial"/>
          <w:sz w:val="20"/>
          <w:szCs w:val="20"/>
          <w:u w:val="single"/>
        </w:rPr>
        <w:t>$123,303.79</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154051" w:rsidRDefault="00154051" w:rsidP="00154051">
      <w:pPr>
        <w:ind w:left="720"/>
        <w:jc w:val="both"/>
        <w:rPr>
          <w:rFonts w:ascii="Arial" w:hAnsi="Arial" w:cs="Arial"/>
          <w:sz w:val="20"/>
          <w:szCs w:val="20"/>
        </w:rPr>
      </w:pP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9473BD">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9473BD">
              <w:rPr>
                <w:rFonts w:eastAsia="Times New Roman"/>
                <w:color w:val="FFFFFF"/>
                <w:lang w:eastAsia="es-MX"/>
              </w:rPr>
              <w:t>03  Del Año 2019</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473BD">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0820C1">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03</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9</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473BD">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8</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E97A8B" w:rsidP="00E97A8B">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397,535.07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9473BD">
              <w:rPr>
                <w:rFonts w:eastAsia="Times New Roman"/>
                <w:color w:val="000000"/>
                <w:sz w:val="20"/>
                <w:szCs w:val="20"/>
                <w:lang w:eastAsia="es-MX"/>
              </w:rPr>
              <w:t>397,449.86</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E97A8B">
              <w:rPr>
                <w:rFonts w:eastAsia="Times New Roman"/>
                <w:color w:val="000000"/>
                <w:sz w:val="20"/>
                <w:szCs w:val="20"/>
                <w:lang w:eastAsia="es-MX"/>
              </w:rPr>
              <w:t>535.07</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54051">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397,449.86</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5405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831,</w:t>
            </w:r>
            <w:r w:rsidR="00E97A8B">
              <w:rPr>
                <w:rFonts w:eastAsia="Times New Roman"/>
                <w:color w:val="FFFFFF"/>
                <w:sz w:val="20"/>
                <w:szCs w:val="20"/>
                <w:lang w:eastAsia="es-MX"/>
              </w:rPr>
              <w:t>988</w:t>
            </w:r>
            <w:r w:rsidRPr="00DC5E9C">
              <w:rPr>
                <w:rFonts w:eastAsia="Times New Roman"/>
                <w:color w:val="FFFFFF"/>
                <w:sz w:val="20"/>
                <w:szCs w:val="20"/>
                <w:lang w:eastAsia="es-MX"/>
              </w:rPr>
              <w:t>.</w:t>
            </w:r>
            <w:r w:rsidR="00E97A8B">
              <w:rPr>
                <w:rFonts w:eastAsia="Times New Roman"/>
                <w:color w:val="FFFFFF"/>
                <w:sz w:val="20"/>
                <w:szCs w:val="20"/>
                <w:lang w:eastAsia="es-MX"/>
              </w:rPr>
              <w:t>78</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831,903.57</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Inversiones en empresas de participación mayorit</w:t>
      </w:r>
      <w:bookmarkStart w:id="0" w:name="_GoBack"/>
      <w:bookmarkEnd w:id="0"/>
      <w:r w:rsidRPr="0030393A">
        <w:rPr>
          <w:rFonts w:ascii="Arial" w:hAnsi="Arial" w:cs="Arial"/>
          <w:sz w:val="20"/>
          <w:szCs w:val="20"/>
        </w:rPr>
        <w: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DE4235" w:rsidRDefault="00DE423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lastRenderedPageBreak/>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tbl>
      <w:tblPr>
        <w:tblW w:w="9257" w:type="dxa"/>
        <w:tblInd w:w="-10" w:type="dxa"/>
        <w:tblCellMar>
          <w:left w:w="70" w:type="dxa"/>
          <w:right w:w="70" w:type="dxa"/>
        </w:tblCellMar>
        <w:tblLook w:val="04A0" w:firstRow="1" w:lastRow="0" w:firstColumn="1" w:lastColumn="0" w:noHBand="0" w:noVBand="1"/>
      </w:tblPr>
      <w:tblGrid>
        <w:gridCol w:w="5838"/>
        <w:gridCol w:w="310"/>
        <w:gridCol w:w="1671"/>
        <w:gridCol w:w="1438"/>
      </w:tblGrid>
      <w:tr w:rsidR="00DE4235" w:rsidRPr="00DE4235" w:rsidTr="00DE4235">
        <w:trPr>
          <w:trHeight w:val="418"/>
        </w:trPr>
        <w:tc>
          <w:tcPr>
            <w:tcW w:w="9257" w:type="dxa"/>
            <w:gridSpan w:val="4"/>
            <w:vMerge w:val="restart"/>
            <w:tcBorders>
              <w:top w:val="single" w:sz="8" w:space="0" w:color="auto"/>
              <w:left w:val="single" w:sz="8" w:space="0" w:color="auto"/>
              <w:bottom w:val="single" w:sz="4" w:space="0" w:color="000000"/>
              <w:right w:val="single" w:sz="8" w:space="0" w:color="000000"/>
            </w:tcBorders>
            <w:shd w:val="clear" w:color="000000" w:fill="305496"/>
            <w:vAlign w:val="bottom"/>
            <w:hideMark/>
          </w:tcPr>
          <w:p w:rsidR="00DE4235" w:rsidRPr="008F260D" w:rsidRDefault="00DE4235" w:rsidP="00A03DF4">
            <w:pPr>
              <w:spacing w:after="0" w:line="240" w:lineRule="auto"/>
              <w:jc w:val="center"/>
              <w:rPr>
                <w:rFonts w:ascii="Arial" w:eastAsia="Times New Roman" w:hAnsi="Arial" w:cs="Arial"/>
                <w:b/>
                <w:bCs/>
                <w:color w:val="FFFFFF"/>
                <w:sz w:val="18"/>
                <w:szCs w:val="18"/>
                <w:lang w:eastAsia="es-ES"/>
              </w:rPr>
            </w:pPr>
            <w:r w:rsidRPr="00DE4235">
              <w:rPr>
                <w:rFonts w:ascii="Arial" w:hAnsi="Arial" w:cs="Arial"/>
                <w:noProof/>
                <w:sz w:val="18"/>
                <w:szCs w:val="18"/>
                <w:lang w:eastAsia="es-MX"/>
              </w:rPr>
              <w:drawing>
                <wp:inline distT="0" distB="0" distL="0" distR="0" wp14:anchorId="2CE39959" wp14:editId="327EBAC2">
                  <wp:extent cx="847724" cy="695325"/>
                  <wp:effectExtent l="0" t="0" r="0" b="0"/>
                  <wp:docPr id="10" name="2 Imagen" descr="so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Imagen" descr="solo logo.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4"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DE4235">
              <w:rPr>
                <w:rFonts w:ascii="Arial" w:eastAsia="Times New Roman" w:hAnsi="Arial" w:cs="Arial"/>
                <w:b/>
                <w:bCs/>
                <w:color w:val="FFFFFF"/>
                <w:sz w:val="18"/>
                <w:szCs w:val="18"/>
                <w:lang w:eastAsia="es-ES"/>
              </w:rPr>
              <w:t xml:space="preserve">       </w:t>
            </w:r>
            <w:r w:rsidRPr="008F260D">
              <w:rPr>
                <w:rFonts w:ascii="Arial" w:eastAsia="Times New Roman" w:hAnsi="Arial" w:cs="Arial"/>
                <w:b/>
                <w:bCs/>
                <w:color w:val="FFFFFF"/>
                <w:sz w:val="18"/>
                <w:szCs w:val="18"/>
                <w:lang w:eastAsia="es-ES"/>
              </w:rPr>
              <w:t xml:space="preserve"> SISTEMA AVANZADO DE BACHILLERATO Y EDUCACIÓN SUPERIOR EN EL ESTADO DE GUANAJUATO</w:t>
            </w:r>
            <w:r w:rsidRPr="008F260D">
              <w:rPr>
                <w:rFonts w:ascii="Arial" w:eastAsia="Times New Roman" w:hAnsi="Arial" w:cs="Arial"/>
                <w:b/>
                <w:bCs/>
                <w:color w:val="FFFFFF"/>
                <w:sz w:val="18"/>
                <w:szCs w:val="18"/>
                <w:lang w:eastAsia="es-ES"/>
              </w:rPr>
              <w:br/>
              <w:t>ESTADO ANALITICO DE INGRESOS PRESUPUESTALES</w:t>
            </w:r>
            <w:r w:rsidRPr="008F260D">
              <w:rPr>
                <w:rFonts w:ascii="Arial" w:eastAsia="Times New Roman" w:hAnsi="Arial" w:cs="Arial"/>
                <w:b/>
                <w:bCs/>
                <w:color w:val="FFFFFF"/>
                <w:sz w:val="18"/>
                <w:szCs w:val="18"/>
                <w:lang w:eastAsia="es-ES"/>
              </w:rPr>
              <w:br/>
              <w:t>AL 31 DE MARZO DE 2019</w:t>
            </w:r>
          </w:p>
        </w:tc>
      </w:tr>
      <w:tr w:rsidR="00DE4235" w:rsidRPr="00DE4235" w:rsidTr="00DE4235">
        <w:trPr>
          <w:trHeight w:val="759"/>
        </w:trPr>
        <w:tc>
          <w:tcPr>
            <w:tcW w:w="9257" w:type="dxa"/>
            <w:gridSpan w:val="4"/>
            <w:vMerge/>
            <w:tcBorders>
              <w:top w:val="single" w:sz="8" w:space="0" w:color="auto"/>
              <w:left w:val="single" w:sz="8" w:space="0" w:color="auto"/>
              <w:bottom w:val="single" w:sz="4" w:space="0" w:color="000000"/>
              <w:right w:val="single" w:sz="8" w:space="0" w:color="000000"/>
            </w:tcBorders>
            <w:vAlign w:val="center"/>
            <w:hideMark/>
          </w:tcPr>
          <w:p w:rsidR="00DE4235" w:rsidRPr="008F260D" w:rsidRDefault="00DE4235" w:rsidP="00A03DF4">
            <w:pPr>
              <w:spacing w:after="0" w:line="240" w:lineRule="auto"/>
              <w:rPr>
                <w:rFonts w:ascii="Arial" w:eastAsia="Times New Roman" w:hAnsi="Arial" w:cs="Arial"/>
                <w:b/>
                <w:bCs/>
                <w:color w:val="FFFFFF"/>
                <w:sz w:val="18"/>
                <w:szCs w:val="18"/>
                <w:lang w:eastAsia="es-ES"/>
              </w:rPr>
            </w:pPr>
          </w:p>
        </w:tc>
      </w:tr>
      <w:tr w:rsidR="00DE4235" w:rsidRPr="00DE4235" w:rsidTr="00DE4235">
        <w:trPr>
          <w:trHeight w:val="198"/>
        </w:trPr>
        <w:tc>
          <w:tcPr>
            <w:tcW w:w="5838" w:type="dxa"/>
            <w:tcBorders>
              <w:top w:val="nil"/>
              <w:left w:val="single" w:sz="8" w:space="0" w:color="auto"/>
              <w:bottom w:val="nil"/>
              <w:right w:val="nil"/>
            </w:tcBorders>
            <w:shd w:val="clear" w:color="000000" w:fill="305496"/>
            <w:noWrap/>
            <w:vAlign w:val="bottom"/>
            <w:hideMark/>
          </w:tcPr>
          <w:p w:rsidR="00DE4235" w:rsidRPr="008F260D" w:rsidRDefault="00DE4235" w:rsidP="00A03DF4">
            <w:pPr>
              <w:spacing w:after="0" w:line="240" w:lineRule="auto"/>
              <w:rPr>
                <w:rFonts w:ascii="Arial" w:eastAsia="Times New Roman" w:hAnsi="Arial" w:cs="Arial"/>
                <w:b/>
                <w:bCs/>
                <w:color w:val="FFFFFF"/>
                <w:sz w:val="18"/>
                <w:szCs w:val="18"/>
                <w:lang w:eastAsia="es-ES"/>
              </w:rPr>
            </w:pPr>
            <w:r w:rsidRPr="008F260D">
              <w:rPr>
                <w:rFonts w:ascii="Arial" w:eastAsia="Times New Roman" w:hAnsi="Arial" w:cs="Arial"/>
                <w:b/>
                <w:bCs/>
                <w:color w:val="FFFFFF"/>
                <w:sz w:val="18"/>
                <w:szCs w:val="18"/>
                <w:lang w:eastAsia="es-ES"/>
              </w:rPr>
              <w:t>FUENTE DEL INGRESO</w:t>
            </w:r>
          </w:p>
        </w:tc>
        <w:tc>
          <w:tcPr>
            <w:tcW w:w="309" w:type="dxa"/>
            <w:tcBorders>
              <w:top w:val="nil"/>
              <w:left w:val="nil"/>
              <w:bottom w:val="nil"/>
              <w:right w:val="nil"/>
            </w:tcBorders>
            <w:shd w:val="clear" w:color="000000" w:fill="305496"/>
            <w:noWrap/>
            <w:vAlign w:val="bottom"/>
            <w:hideMark/>
          </w:tcPr>
          <w:p w:rsidR="00DE4235" w:rsidRPr="008F260D" w:rsidRDefault="00DE4235" w:rsidP="00A03DF4">
            <w:pPr>
              <w:spacing w:after="0" w:line="240" w:lineRule="auto"/>
              <w:rPr>
                <w:rFonts w:ascii="Arial" w:eastAsia="Times New Roman" w:hAnsi="Arial" w:cs="Arial"/>
                <w:color w:val="FFFFFF"/>
                <w:sz w:val="18"/>
                <w:szCs w:val="18"/>
                <w:lang w:eastAsia="es-ES"/>
              </w:rPr>
            </w:pPr>
            <w:r w:rsidRPr="008F260D">
              <w:rPr>
                <w:rFonts w:ascii="Arial" w:eastAsia="Times New Roman" w:hAnsi="Arial" w:cs="Arial"/>
                <w:color w:val="FFFFFF"/>
                <w:sz w:val="18"/>
                <w:szCs w:val="18"/>
                <w:lang w:eastAsia="es-ES"/>
              </w:rPr>
              <w:t> </w:t>
            </w:r>
          </w:p>
        </w:tc>
        <w:tc>
          <w:tcPr>
            <w:tcW w:w="1671" w:type="dxa"/>
            <w:tcBorders>
              <w:top w:val="nil"/>
              <w:left w:val="nil"/>
              <w:bottom w:val="nil"/>
              <w:right w:val="nil"/>
            </w:tcBorders>
            <w:shd w:val="clear" w:color="000000" w:fill="305496"/>
            <w:noWrap/>
            <w:vAlign w:val="bottom"/>
            <w:hideMark/>
          </w:tcPr>
          <w:p w:rsidR="00DE4235" w:rsidRPr="008F260D" w:rsidRDefault="00DE4235" w:rsidP="00A03DF4">
            <w:pPr>
              <w:spacing w:after="0" w:line="240" w:lineRule="auto"/>
              <w:rPr>
                <w:rFonts w:ascii="Arial" w:eastAsia="Times New Roman" w:hAnsi="Arial" w:cs="Arial"/>
                <w:b/>
                <w:bCs/>
                <w:color w:val="FFFFFF"/>
                <w:sz w:val="18"/>
                <w:szCs w:val="18"/>
                <w:lang w:eastAsia="es-ES"/>
              </w:rPr>
            </w:pPr>
            <w:r w:rsidRPr="008F260D">
              <w:rPr>
                <w:rFonts w:ascii="Arial" w:eastAsia="Times New Roman" w:hAnsi="Arial" w:cs="Arial"/>
                <w:b/>
                <w:bCs/>
                <w:color w:val="FFFFFF"/>
                <w:sz w:val="18"/>
                <w:szCs w:val="18"/>
                <w:lang w:eastAsia="es-ES"/>
              </w:rPr>
              <w:t>RECAUDADO</w:t>
            </w:r>
          </w:p>
        </w:tc>
        <w:tc>
          <w:tcPr>
            <w:tcW w:w="1438" w:type="dxa"/>
            <w:tcBorders>
              <w:top w:val="nil"/>
              <w:left w:val="nil"/>
              <w:bottom w:val="nil"/>
              <w:right w:val="single" w:sz="8" w:space="0" w:color="auto"/>
            </w:tcBorders>
            <w:shd w:val="clear" w:color="000000" w:fill="305496"/>
            <w:noWrap/>
            <w:vAlign w:val="bottom"/>
            <w:hideMark/>
          </w:tcPr>
          <w:p w:rsidR="00DE4235" w:rsidRPr="008F260D" w:rsidRDefault="00DE4235" w:rsidP="00A03DF4">
            <w:pPr>
              <w:spacing w:after="0" w:line="240" w:lineRule="auto"/>
              <w:rPr>
                <w:rFonts w:ascii="Arial" w:eastAsia="Times New Roman" w:hAnsi="Arial" w:cs="Arial"/>
                <w:b/>
                <w:bCs/>
                <w:color w:val="FFFFFF"/>
                <w:sz w:val="18"/>
                <w:szCs w:val="18"/>
                <w:lang w:eastAsia="es-ES"/>
              </w:rPr>
            </w:pPr>
            <w:r w:rsidRPr="008F260D">
              <w:rPr>
                <w:rFonts w:ascii="Arial" w:eastAsia="Times New Roman" w:hAnsi="Arial" w:cs="Arial"/>
                <w:b/>
                <w:bCs/>
                <w:color w:val="FFFFFF"/>
                <w:sz w:val="18"/>
                <w:szCs w:val="18"/>
                <w:lang w:eastAsia="es-ES"/>
              </w:rPr>
              <w:t>PORCENTAJE DE INGRESO</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1115404000  OTROS DERECHOS</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143,050.86</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0.06%</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1116151106  IMTO/NOM -FCIIEMS16</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0.00%</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1116404000  OTROS DERECHOS</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89,294.48</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0.04%</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1118430815  100% DERECHOS EDUCAT</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839,508.84</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0.36%</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1119435115  100% DERECHOS EDUCAT</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11,917,226.00</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5.10%</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1218010102  DEUDA PARA POTENCIAL</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635,925.08</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0.27%</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1419730000  INGRESOS POR VENTA D</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39,703,870.00</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16.98%</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1419790000  OTRAS VENTAS DE BIEN</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2,159,681.17</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0.92%</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1518811100  80% FONDO GENERAL (E</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310,137.88</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0.13%</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1518811106  FG&gt;EXPANSIÓN SEP-SEG</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3,055,677.76</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1.31%</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1518816100  100% FONDO ISR (ESTA</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463,470.93</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0.20%</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1519844100  OTROS INCENTIVOS CCA</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173,981,947.78</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74.43%</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1718930000  SUBSIDIOS Y SUBV 18</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463,062.97</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0.20%</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TOTAL DE INGRESOS LOCALES</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233,762,853.75</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100.00%</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2516827126  FAFEF16 CONC FCIIEMS</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582,520.89</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27%</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2516832143  FCIIEMS 16 (ODES)</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582,520.90</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27%</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2518824302  REM FAM MED SUP 18</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483,261.00</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22%</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2518832159  PROEXOEEMS 12M 18</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529,848.43</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24%</w:t>
            </w:r>
          </w:p>
        </w:tc>
      </w:tr>
      <w:tr w:rsidR="00DE4235" w:rsidRPr="00DE4235" w:rsidTr="00DE4235">
        <w:trPr>
          <w:trHeight w:val="198"/>
        </w:trPr>
        <w:tc>
          <w:tcPr>
            <w:tcW w:w="6148" w:type="dxa"/>
            <w:gridSpan w:val="2"/>
            <w:tcBorders>
              <w:top w:val="nil"/>
              <w:left w:val="single" w:sz="8" w:space="0" w:color="auto"/>
              <w:bottom w:val="nil"/>
              <w:right w:val="nil"/>
            </w:tcBorders>
            <w:shd w:val="clear" w:color="auto" w:fill="auto"/>
            <w:noWrap/>
            <w:vAlign w:val="bottom"/>
            <w:hideMark/>
          </w:tcPr>
          <w:p w:rsidR="00DE4235" w:rsidRPr="008F260D" w:rsidRDefault="00DE4235" w:rsidP="00A03DF4">
            <w:pPr>
              <w:spacing w:after="0" w:line="240" w:lineRule="auto"/>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TOTAL DE INGRESOS FEDERALES</w:t>
            </w:r>
          </w:p>
        </w:tc>
        <w:tc>
          <w:tcPr>
            <w:tcW w:w="1671" w:type="dxa"/>
            <w:tcBorders>
              <w:top w:val="nil"/>
              <w:left w:val="nil"/>
              <w:bottom w:val="nil"/>
              <w:right w:val="nil"/>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2,178,151.22</w:t>
            </w:r>
          </w:p>
        </w:tc>
        <w:tc>
          <w:tcPr>
            <w:tcW w:w="1438" w:type="dxa"/>
            <w:tcBorders>
              <w:top w:val="nil"/>
              <w:left w:val="nil"/>
              <w:bottom w:val="nil"/>
              <w:right w:val="single" w:sz="8" w:space="0" w:color="auto"/>
            </w:tcBorders>
            <w:shd w:val="clear" w:color="auto" w:fill="auto"/>
            <w:noWrap/>
            <w:vAlign w:val="bottom"/>
            <w:hideMark/>
          </w:tcPr>
          <w:p w:rsidR="00DE4235" w:rsidRPr="008F260D" w:rsidRDefault="00DE4235" w:rsidP="00A03DF4">
            <w:pPr>
              <w:spacing w:after="0" w:line="240" w:lineRule="auto"/>
              <w:jc w:val="right"/>
              <w:rPr>
                <w:rFonts w:ascii="Arial" w:eastAsia="Times New Roman" w:hAnsi="Arial" w:cs="Arial"/>
                <w:color w:val="000000"/>
                <w:sz w:val="18"/>
                <w:szCs w:val="18"/>
                <w:lang w:eastAsia="es-ES"/>
              </w:rPr>
            </w:pPr>
            <w:r w:rsidRPr="008F260D">
              <w:rPr>
                <w:rFonts w:ascii="Arial" w:eastAsia="Times New Roman" w:hAnsi="Arial" w:cs="Arial"/>
                <w:color w:val="000000"/>
                <w:sz w:val="18"/>
                <w:szCs w:val="18"/>
                <w:lang w:eastAsia="es-ES"/>
              </w:rPr>
              <w:t>100%</w:t>
            </w:r>
          </w:p>
        </w:tc>
      </w:tr>
      <w:tr w:rsidR="00DE4235" w:rsidRPr="00DE4235" w:rsidTr="00DE4235">
        <w:trPr>
          <w:trHeight w:val="80"/>
        </w:trPr>
        <w:tc>
          <w:tcPr>
            <w:tcW w:w="5838" w:type="dxa"/>
            <w:tcBorders>
              <w:top w:val="nil"/>
              <w:left w:val="single" w:sz="8" w:space="0" w:color="auto"/>
              <w:bottom w:val="single" w:sz="8" w:space="0" w:color="auto"/>
              <w:right w:val="nil"/>
            </w:tcBorders>
            <w:shd w:val="clear" w:color="000000" w:fill="9BC2E6"/>
            <w:noWrap/>
            <w:vAlign w:val="bottom"/>
            <w:hideMark/>
          </w:tcPr>
          <w:p w:rsidR="00DE4235" w:rsidRPr="008F260D" w:rsidRDefault="00DE4235" w:rsidP="00A03DF4">
            <w:pPr>
              <w:spacing w:after="0" w:line="240" w:lineRule="auto"/>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TOTAL</w:t>
            </w:r>
          </w:p>
        </w:tc>
        <w:tc>
          <w:tcPr>
            <w:tcW w:w="309" w:type="dxa"/>
            <w:tcBorders>
              <w:top w:val="nil"/>
              <w:left w:val="nil"/>
              <w:bottom w:val="single" w:sz="8" w:space="0" w:color="auto"/>
              <w:right w:val="nil"/>
            </w:tcBorders>
            <w:shd w:val="clear" w:color="000000" w:fill="9BC2E6"/>
            <w:noWrap/>
            <w:vAlign w:val="bottom"/>
            <w:hideMark/>
          </w:tcPr>
          <w:p w:rsidR="00DE4235" w:rsidRPr="008F260D" w:rsidRDefault="00DE4235" w:rsidP="00A03DF4">
            <w:pPr>
              <w:spacing w:after="0" w:line="240" w:lineRule="auto"/>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 </w:t>
            </w:r>
          </w:p>
        </w:tc>
        <w:tc>
          <w:tcPr>
            <w:tcW w:w="1671" w:type="dxa"/>
            <w:tcBorders>
              <w:top w:val="nil"/>
              <w:left w:val="nil"/>
              <w:bottom w:val="single" w:sz="8" w:space="0" w:color="auto"/>
              <w:right w:val="nil"/>
            </w:tcBorders>
            <w:shd w:val="clear" w:color="000000" w:fill="9BC2E6"/>
            <w:noWrap/>
            <w:vAlign w:val="bottom"/>
            <w:hideMark/>
          </w:tcPr>
          <w:p w:rsidR="00DE4235" w:rsidRPr="008F260D" w:rsidRDefault="00DE4235" w:rsidP="00A03DF4">
            <w:pPr>
              <w:spacing w:after="0" w:line="240" w:lineRule="auto"/>
              <w:jc w:val="right"/>
              <w:rPr>
                <w:rFonts w:ascii="Arial" w:eastAsia="Times New Roman" w:hAnsi="Arial" w:cs="Arial"/>
                <w:b/>
                <w:bCs/>
                <w:sz w:val="18"/>
                <w:szCs w:val="18"/>
                <w:lang w:eastAsia="es-ES"/>
              </w:rPr>
            </w:pPr>
            <w:r w:rsidRPr="008F260D">
              <w:rPr>
                <w:rFonts w:ascii="Arial" w:eastAsia="Times New Roman" w:hAnsi="Arial" w:cs="Arial"/>
                <w:b/>
                <w:bCs/>
                <w:sz w:val="18"/>
                <w:szCs w:val="18"/>
                <w:lang w:eastAsia="es-ES"/>
              </w:rPr>
              <w:t>235,941,004.97</w:t>
            </w:r>
          </w:p>
        </w:tc>
        <w:tc>
          <w:tcPr>
            <w:tcW w:w="1438" w:type="dxa"/>
            <w:tcBorders>
              <w:top w:val="nil"/>
              <w:left w:val="nil"/>
              <w:bottom w:val="single" w:sz="8" w:space="0" w:color="auto"/>
              <w:right w:val="single" w:sz="8" w:space="0" w:color="auto"/>
            </w:tcBorders>
            <w:shd w:val="clear" w:color="000000" w:fill="9BC2E6"/>
            <w:noWrap/>
            <w:vAlign w:val="bottom"/>
            <w:hideMark/>
          </w:tcPr>
          <w:p w:rsidR="00DE4235" w:rsidRPr="008F260D" w:rsidRDefault="00DE4235" w:rsidP="00A03DF4">
            <w:pPr>
              <w:spacing w:after="0" w:line="240" w:lineRule="auto"/>
              <w:rPr>
                <w:rFonts w:ascii="Arial" w:eastAsia="Times New Roman" w:hAnsi="Arial" w:cs="Arial"/>
                <w:b/>
                <w:bCs/>
                <w:color w:val="000000"/>
                <w:sz w:val="18"/>
                <w:szCs w:val="18"/>
                <w:lang w:eastAsia="es-ES"/>
              </w:rPr>
            </w:pPr>
            <w:r w:rsidRPr="008F260D">
              <w:rPr>
                <w:rFonts w:ascii="Arial" w:eastAsia="Times New Roman" w:hAnsi="Arial" w:cs="Arial"/>
                <w:b/>
                <w:bCs/>
                <w:color w:val="000000"/>
                <w:sz w:val="18"/>
                <w:szCs w:val="18"/>
                <w:lang w:eastAsia="es-ES"/>
              </w:rPr>
              <w:t> </w:t>
            </w:r>
          </w:p>
        </w:tc>
      </w:tr>
    </w:tbl>
    <w:p w:rsidR="00DE4235" w:rsidRDefault="00DE4235" w:rsidP="00DE4235">
      <w:pPr>
        <w:ind w:left="360"/>
        <w:jc w:val="both"/>
        <w:rPr>
          <w:rFonts w:ascii="Arial" w:hAnsi="Arial" w:cs="Arial"/>
          <w:sz w:val="20"/>
          <w:szCs w:val="20"/>
        </w:rPr>
      </w:pPr>
    </w:p>
    <w:p w:rsidR="00DE4235" w:rsidRDefault="00DE4235" w:rsidP="00DE4235">
      <w:pPr>
        <w:jc w:val="both"/>
        <w:rPr>
          <w:rFonts w:ascii="Arial" w:hAnsi="Arial" w:cs="Arial"/>
          <w:sz w:val="20"/>
          <w:szCs w:val="20"/>
        </w:rPr>
      </w:pPr>
    </w:p>
    <w:p w:rsidR="00DE4235" w:rsidRDefault="00DE4235" w:rsidP="00DE4235">
      <w:pPr>
        <w:jc w:val="both"/>
        <w:rPr>
          <w:rFonts w:ascii="Arial" w:hAnsi="Arial" w:cs="Arial"/>
          <w:sz w:val="20"/>
          <w:szCs w:val="20"/>
        </w:rPr>
      </w:pPr>
    </w:p>
    <w:p w:rsidR="00DE4235" w:rsidRDefault="00DE4235" w:rsidP="00DE4235">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A56790" w:rsidRDefault="00A56790" w:rsidP="00A56790">
      <w:pPr>
        <w:jc w:val="both"/>
        <w:rPr>
          <w:rFonts w:ascii="Arial" w:hAnsi="Arial" w:cs="Arial"/>
          <w:sz w:val="20"/>
          <w:szCs w:val="20"/>
        </w:rPr>
      </w:pPr>
    </w:p>
    <w:tbl>
      <w:tblPr>
        <w:tblpPr w:leftFromText="141" w:rightFromText="141" w:vertAnchor="page" w:horzAnchor="margin" w:tblpY="2701"/>
        <w:tblW w:w="9925" w:type="dxa"/>
        <w:tblCellMar>
          <w:left w:w="70" w:type="dxa"/>
          <w:right w:w="70" w:type="dxa"/>
        </w:tblCellMar>
        <w:tblLook w:val="04A0" w:firstRow="1" w:lastRow="0" w:firstColumn="1" w:lastColumn="0" w:noHBand="0" w:noVBand="1"/>
      </w:tblPr>
      <w:tblGrid>
        <w:gridCol w:w="1525"/>
        <w:gridCol w:w="4504"/>
        <w:gridCol w:w="1392"/>
        <w:gridCol w:w="1392"/>
        <w:gridCol w:w="1170"/>
      </w:tblGrid>
      <w:tr w:rsidR="00A56790" w:rsidRPr="00596E02" w:rsidTr="00A56790">
        <w:trPr>
          <w:trHeight w:val="203"/>
        </w:trPr>
        <w:tc>
          <w:tcPr>
            <w:tcW w:w="1467" w:type="dxa"/>
            <w:tcBorders>
              <w:top w:val="single" w:sz="8" w:space="0" w:color="auto"/>
              <w:left w:val="single" w:sz="8" w:space="0" w:color="auto"/>
              <w:bottom w:val="nil"/>
              <w:right w:val="nil"/>
            </w:tcBorders>
            <w:shd w:val="clear" w:color="000000" w:fill="305496"/>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 </w:t>
            </w:r>
          </w:p>
        </w:tc>
        <w:tc>
          <w:tcPr>
            <w:tcW w:w="8458" w:type="dxa"/>
            <w:gridSpan w:val="4"/>
            <w:vMerge w:val="restart"/>
            <w:tcBorders>
              <w:top w:val="single" w:sz="8" w:space="0" w:color="auto"/>
              <w:left w:val="nil"/>
              <w:bottom w:val="single" w:sz="4" w:space="0" w:color="000000"/>
              <w:right w:val="single" w:sz="8" w:space="0" w:color="000000"/>
            </w:tcBorders>
            <w:shd w:val="clear" w:color="000000" w:fill="305496"/>
            <w:vAlign w:val="bottom"/>
            <w:hideMark/>
          </w:tcPr>
          <w:p w:rsidR="00A56790" w:rsidRPr="00596E02" w:rsidRDefault="00A56790" w:rsidP="00A56790">
            <w:pPr>
              <w:spacing w:after="0" w:line="240" w:lineRule="auto"/>
              <w:jc w:val="center"/>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SISTEMA AVANZADO DE BACHILLERATO Y EDUCACIÓN SUPERIOR EN EL ESTADO DE GUANAJUATO</w:t>
            </w:r>
            <w:r w:rsidRPr="00596E02">
              <w:rPr>
                <w:rFonts w:ascii="Arial" w:eastAsia="Times New Roman" w:hAnsi="Arial" w:cs="Arial"/>
                <w:b/>
                <w:bCs/>
                <w:color w:val="FFFFFF"/>
                <w:sz w:val="18"/>
                <w:szCs w:val="18"/>
                <w:lang w:eastAsia="es-ES"/>
              </w:rPr>
              <w:br/>
              <w:t>ESTADO ANALITICO DE INGRESOS PRESUPUESTALES</w:t>
            </w:r>
            <w:r w:rsidRPr="00596E02">
              <w:rPr>
                <w:rFonts w:ascii="Arial" w:eastAsia="Times New Roman" w:hAnsi="Arial" w:cs="Arial"/>
                <w:b/>
                <w:bCs/>
                <w:color w:val="FFFFFF"/>
                <w:sz w:val="18"/>
                <w:szCs w:val="18"/>
                <w:lang w:eastAsia="es-ES"/>
              </w:rPr>
              <w:br/>
              <w:t>AL 31 DE MARZO DE 2019</w:t>
            </w:r>
          </w:p>
        </w:tc>
      </w:tr>
      <w:tr w:rsidR="00A56790" w:rsidRPr="00596E02" w:rsidTr="00A56790">
        <w:trPr>
          <w:trHeight w:val="757"/>
        </w:trPr>
        <w:tc>
          <w:tcPr>
            <w:tcW w:w="1467" w:type="dxa"/>
            <w:tcBorders>
              <w:top w:val="nil"/>
              <w:left w:val="single" w:sz="8" w:space="0" w:color="auto"/>
              <w:bottom w:val="single" w:sz="4" w:space="0" w:color="auto"/>
              <w:right w:val="nil"/>
            </w:tcBorders>
            <w:shd w:val="clear" w:color="000000" w:fill="305496"/>
            <w:noWrap/>
            <w:vAlign w:val="bottom"/>
            <w:hideMark/>
          </w:tcPr>
          <w:p w:rsidR="00A56790" w:rsidRPr="00596E02" w:rsidRDefault="00A56790" w:rsidP="00A56790">
            <w:pPr>
              <w:spacing w:after="0" w:line="240" w:lineRule="auto"/>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 </w:t>
            </w:r>
            <w:r>
              <w:rPr>
                <w:noProof/>
                <w:lang w:eastAsia="es-MX"/>
              </w:rPr>
              <w:drawing>
                <wp:inline distT="0" distB="0" distL="0" distR="0" wp14:anchorId="6758650C" wp14:editId="45297DB6">
                  <wp:extent cx="847724" cy="695325"/>
                  <wp:effectExtent l="0" t="0" r="0" b="0"/>
                  <wp:docPr id="6" name="2 Imagen" descr="so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Imagen" descr="solo logo.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4"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458" w:type="dxa"/>
            <w:gridSpan w:val="4"/>
            <w:vMerge/>
            <w:tcBorders>
              <w:top w:val="nil"/>
              <w:left w:val="single" w:sz="8" w:space="0" w:color="auto"/>
              <w:bottom w:val="single" w:sz="4" w:space="0" w:color="auto"/>
              <w:right w:val="nil"/>
            </w:tcBorders>
            <w:vAlign w:val="center"/>
            <w:hideMark/>
          </w:tcPr>
          <w:p w:rsidR="00A56790" w:rsidRPr="00596E02" w:rsidRDefault="00A56790" w:rsidP="00A56790">
            <w:pPr>
              <w:spacing w:after="0" w:line="240" w:lineRule="auto"/>
              <w:rPr>
                <w:rFonts w:ascii="Arial" w:eastAsia="Times New Roman" w:hAnsi="Arial" w:cs="Arial"/>
                <w:b/>
                <w:bCs/>
                <w:color w:val="FFFFFF"/>
                <w:sz w:val="18"/>
                <w:szCs w:val="18"/>
                <w:lang w:eastAsia="es-ES"/>
              </w:rPr>
            </w:pPr>
          </w:p>
        </w:tc>
      </w:tr>
      <w:tr w:rsidR="00A56790" w:rsidRPr="00596E02" w:rsidTr="00A56790">
        <w:trPr>
          <w:trHeight w:val="337"/>
        </w:trPr>
        <w:tc>
          <w:tcPr>
            <w:tcW w:w="1467" w:type="dxa"/>
            <w:tcBorders>
              <w:top w:val="nil"/>
              <w:left w:val="single" w:sz="8" w:space="0" w:color="auto"/>
              <w:bottom w:val="single" w:sz="4" w:space="0" w:color="auto"/>
              <w:right w:val="nil"/>
            </w:tcBorders>
            <w:shd w:val="clear" w:color="000000" w:fill="305496"/>
            <w:noWrap/>
            <w:vAlign w:val="bottom"/>
            <w:hideMark/>
          </w:tcPr>
          <w:p w:rsidR="00A56790" w:rsidRPr="00596E02" w:rsidRDefault="00A56790" w:rsidP="00A56790">
            <w:pPr>
              <w:spacing w:after="0" w:line="240" w:lineRule="auto"/>
              <w:jc w:val="center"/>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FUENTE DEL INGRESO</w:t>
            </w:r>
          </w:p>
        </w:tc>
        <w:tc>
          <w:tcPr>
            <w:tcW w:w="4504" w:type="dxa"/>
            <w:tcBorders>
              <w:top w:val="nil"/>
              <w:left w:val="nil"/>
              <w:bottom w:val="single" w:sz="4" w:space="0" w:color="auto"/>
              <w:right w:val="nil"/>
            </w:tcBorders>
            <w:shd w:val="clear" w:color="000000" w:fill="305496"/>
            <w:noWrap/>
            <w:vAlign w:val="bottom"/>
            <w:hideMark/>
          </w:tcPr>
          <w:p w:rsidR="00A56790" w:rsidRPr="00596E02" w:rsidRDefault="00A56790" w:rsidP="00A56790">
            <w:pPr>
              <w:spacing w:after="0" w:line="240" w:lineRule="auto"/>
              <w:jc w:val="center"/>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 </w:t>
            </w:r>
          </w:p>
        </w:tc>
        <w:tc>
          <w:tcPr>
            <w:tcW w:w="1392" w:type="dxa"/>
            <w:tcBorders>
              <w:top w:val="nil"/>
              <w:left w:val="nil"/>
              <w:bottom w:val="single" w:sz="4" w:space="0" w:color="auto"/>
              <w:right w:val="nil"/>
            </w:tcBorders>
            <w:shd w:val="clear" w:color="000000" w:fill="305496"/>
            <w:noWrap/>
            <w:vAlign w:val="bottom"/>
            <w:hideMark/>
          </w:tcPr>
          <w:p w:rsidR="00A56790" w:rsidRPr="00596E02" w:rsidRDefault="00A56790" w:rsidP="00A56790">
            <w:pPr>
              <w:spacing w:after="0" w:line="240" w:lineRule="auto"/>
              <w:jc w:val="center"/>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PROYECCION DE INGRESOS</w:t>
            </w:r>
          </w:p>
        </w:tc>
        <w:tc>
          <w:tcPr>
            <w:tcW w:w="1392" w:type="dxa"/>
            <w:tcBorders>
              <w:top w:val="nil"/>
              <w:left w:val="nil"/>
              <w:bottom w:val="single" w:sz="4" w:space="0" w:color="auto"/>
              <w:right w:val="nil"/>
            </w:tcBorders>
            <w:shd w:val="clear" w:color="000000" w:fill="305496"/>
            <w:noWrap/>
            <w:vAlign w:val="bottom"/>
            <w:hideMark/>
          </w:tcPr>
          <w:p w:rsidR="00A56790" w:rsidRPr="00596E02" w:rsidRDefault="00A56790" w:rsidP="00A56790">
            <w:pPr>
              <w:spacing w:after="0" w:line="240" w:lineRule="auto"/>
              <w:jc w:val="center"/>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RECAUDADO</w:t>
            </w:r>
          </w:p>
        </w:tc>
        <w:tc>
          <w:tcPr>
            <w:tcW w:w="1170" w:type="dxa"/>
            <w:tcBorders>
              <w:top w:val="nil"/>
              <w:left w:val="nil"/>
              <w:bottom w:val="single" w:sz="4" w:space="0" w:color="auto"/>
              <w:right w:val="single" w:sz="8" w:space="0" w:color="auto"/>
            </w:tcBorders>
            <w:shd w:val="clear" w:color="000000" w:fill="305496"/>
            <w:vAlign w:val="bottom"/>
            <w:hideMark/>
          </w:tcPr>
          <w:p w:rsidR="00A56790" w:rsidRPr="00596E02" w:rsidRDefault="00A56790" w:rsidP="00A56790">
            <w:pPr>
              <w:spacing w:after="0" w:line="240" w:lineRule="auto"/>
              <w:jc w:val="center"/>
              <w:rPr>
                <w:rFonts w:ascii="Arial" w:eastAsia="Times New Roman" w:hAnsi="Arial" w:cs="Arial"/>
                <w:b/>
                <w:bCs/>
                <w:color w:val="FFFFFF"/>
                <w:sz w:val="18"/>
                <w:szCs w:val="18"/>
                <w:lang w:eastAsia="es-ES"/>
              </w:rPr>
            </w:pPr>
            <w:r w:rsidRPr="00596E02">
              <w:rPr>
                <w:rFonts w:ascii="Arial" w:eastAsia="Times New Roman" w:hAnsi="Arial" w:cs="Arial"/>
                <w:b/>
                <w:bCs/>
                <w:color w:val="FFFFFF"/>
                <w:sz w:val="18"/>
                <w:szCs w:val="18"/>
                <w:lang w:eastAsia="es-ES"/>
              </w:rPr>
              <w:t>% DE INGRESO POR RECAUDAR</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1115404000  OTROS DERECHOS</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143,050.86</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143,050.86</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1116151106  IMTO/NOM -FCIIEMS16</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218,859.72</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100%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1116404000  OTROS DERECHOS</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89,294.48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89,294.48</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1118430815  100% DERECHOS EDUCAT</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839,508.84</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839,508.84</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1119435115  100% DERECHOS EDUCAT</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27,791,228.00</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11,917,226.00</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57%</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1218010102  DEUDA PARA POTENCIAL</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635,925.08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635,925.08</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1419730000  INGRESOS POR VENTA D</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75,505,301.23</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39,703,870.00</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47%</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1419790000  OTRAS VENTAS DE BIEN</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4,875,012.77</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2,159,681.17</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56%</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1518811100  80% FONDO GENERAL (E</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310,137.88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310,137.88</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1518811106  FG&gt;EXPANSIÓN SEP-SEG</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3,055,677.76</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3,055,677.76</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1518816100  100% FONDO ISR (ESTA</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463,470.93</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463,470.93</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1519844100  OTROS INCENTIVOS CCA</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854,762,826.28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173,981,947.78</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80%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1718930000  SUBSIDIOS Y SUBV 18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463,062.97</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463,062.97</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2516827126  FAFEF16 CONC FCIIEMS</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1,165,041.82</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582,520.89</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2516832143  FCIIEMS 16 (ODES)</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1,383,901.57</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582,520.90</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58%</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2518824302  REM FAM MED SUP 18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483,261.00</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483,261.00</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A56790"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hideMark/>
          </w:tcPr>
          <w:p w:rsidR="00A56790" w:rsidRPr="00596E02" w:rsidRDefault="00A56790" w:rsidP="00A56790">
            <w:pPr>
              <w:spacing w:after="0" w:line="240" w:lineRule="auto"/>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2518832159  PROEXOEEMS 12M 18</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529,848.43</w:t>
            </w:r>
          </w:p>
        </w:tc>
        <w:tc>
          <w:tcPr>
            <w:tcW w:w="1392" w:type="dxa"/>
            <w:tcBorders>
              <w:top w:val="nil"/>
              <w:left w:val="nil"/>
              <w:bottom w:val="nil"/>
              <w:right w:val="nil"/>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529,848.43</w:t>
            </w:r>
          </w:p>
        </w:tc>
        <w:tc>
          <w:tcPr>
            <w:tcW w:w="1170" w:type="dxa"/>
            <w:tcBorders>
              <w:top w:val="nil"/>
              <w:left w:val="nil"/>
              <w:bottom w:val="nil"/>
              <w:right w:val="single" w:sz="8" w:space="0" w:color="auto"/>
            </w:tcBorders>
            <w:shd w:val="clear" w:color="auto" w:fill="auto"/>
            <w:noWrap/>
            <w:vAlign w:val="bottom"/>
            <w:hideMark/>
          </w:tcPr>
          <w:p w:rsidR="00A56790" w:rsidRPr="00596E02" w:rsidRDefault="00A56790" w:rsidP="00A56790">
            <w:pPr>
              <w:spacing w:after="0" w:line="240" w:lineRule="auto"/>
              <w:jc w:val="right"/>
              <w:rPr>
                <w:rFonts w:ascii="Arial" w:eastAsia="Times New Roman" w:hAnsi="Arial" w:cs="Arial"/>
                <w:color w:val="000000"/>
                <w:sz w:val="18"/>
                <w:szCs w:val="18"/>
                <w:lang w:eastAsia="es-ES"/>
              </w:rPr>
            </w:pPr>
            <w:r w:rsidRPr="00596E02">
              <w:rPr>
                <w:rFonts w:ascii="Arial" w:eastAsia="Times New Roman" w:hAnsi="Arial" w:cs="Arial"/>
                <w:color w:val="000000"/>
                <w:sz w:val="18"/>
                <w:szCs w:val="18"/>
                <w:lang w:eastAsia="es-ES"/>
              </w:rPr>
              <w:t>0%</w:t>
            </w:r>
          </w:p>
        </w:tc>
      </w:tr>
      <w:tr w:rsidR="00DE4235" w:rsidRPr="00596E02" w:rsidTr="00A56790">
        <w:trPr>
          <w:trHeight w:val="203"/>
        </w:trPr>
        <w:tc>
          <w:tcPr>
            <w:tcW w:w="5971" w:type="dxa"/>
            <w:gridSpan w:val="2"/>
            <w:tcBorders>
              <w:top w:val="nil"/>
              <w:left w:val="single" w:sz="8" w:space="0" w:color="auto"/>
              <w:bottom w:val="nil"/>
              <w:right w:val="nil"/>
            </w:tcBorders>
            <w:shd w:val="clear" w:color="auto" w:fill="auto"/>
            <w:noWrap/>
            <w:vAlign w:val="bottom"/>
          </w:tcPr>
          <w:p w:rsidR="00DE4235" w:rsidRPr="00DE4235" w:rsidRDefault="00DE4235" w:rsidP="00A56790">
            <w:pPr>
              <w:spacing w:after="0" w:line="240" w:lineRule="auto"/>
              <w:rPr>
                <w:rFonts w:ascii="Arial" w:eastAsia="Times New Roman" w:hAnsi="Arial" w:cs="Arial"/>
                <w:color w:val="000000"/>
                <w:sz w:val="18"/>
                <w:szCs w:val="18"/>
                <w:lang w:eastAsia="es-ES"/>
              </w:rPr>
            </w:pPr>
          </w:p>
        </w:tc>
        <w:tc>
          <w:tcPr>
            <w:tcW w:w="1392" w:type="dxa"/>
            <w:tcBorders>
              <w:top w:val="nil"/>
              <w:left w:val="nil"/>
              <w:bottom w:val="nil"/>
              <w:right w:val="nil"/>
            </w:tcBorders>
            <w:shd w:val="clear" w:color="auto" w:fill="auto"/>
            <w:noWrap/>
            <w:vAlign w:val="bottom"/>
          </w:tcPr>
          <w:p w:rsidR="00DE4235" w:rsidRPr="00DE4235" w:rsidRDefault="00DE4235" w:rsidP="00A56790">
            <w:pPr>
              <w:spacing w:after="0" w:line="240" w:lineRule="auto"/>
              <w:jc w:val="right"/>
              <w:rPr>
                <w:rFonts w:ascii="Arial" w:eastAsia="Times New Roman" w:hAnsi="Arial" w:cs="Arial"/>
                <w:color w:val="000000"/>
                <w:sz w:val="18"/>
                <w:szCs w:val="18"/>
                <w:lang w:eastAsia="es-ES"/>
              </w:rPr>
            </w:pPr>
          </w:p>
        </w:tc>
        <w:tc>
          <w:tcPr>
            <w:tcW w:w="1392" w:type="dxa"/>
            <w:tcBorders>
              <w:top w:val="nil"/>
              <w:left w:val="nil"/>
              <w:bottom w:val="nil"/>
              <w:right w:val="nil"/>
            </w:tcBorders>
            <w:shd w:val="clear" w:color="auto" w:fill="auto"/>
            <w:noWrap/>
            <w:vAlign w:val="bottom"/>
          </w:tcPr>
          <w:p w:rsidR="00DE4235" w:rsidRPr="00DE4235" w:rsidRDefault="00DE4235" w:rsidP="00A56790">
            <w:pPr>
              <w:spacing w:after="0" w:line="240" w:lineRule="auto"/>
              <w:jc w:val="right"/>
              <w:rPr>
                <w:rFonts w:ascii="Arial" w:eastAsia="Times New Roman" w:hAnsi="Arial" w:cs="Arial"/>
                <w:color w:val="000000"/>
                <w:sz w:val="18"/>
                <w:szCs w:val="18"/>
                <w:lang w:eastAsia="es-ES"/>
              </w:rPr>
            </w:pPr>
          </w:p>
        </w:tc>
        <w:tc>
          <w:tcPr>
            <w:tcW w:w="1170" w:type="dxa"/>
            <w:tcBorders>
              <w:top w:val="nil"/>
              <w:left w:val="nil"/>
              <w:bottom w:val="nil"/>
              <w:right w:val="single" w:sz="8" w:space="0" w:color="auto"/>
            </w:tcBorders>
            <w:shd w:val="clear" w:color="auto" w:fill="auto"/>
            <w:noWrap/>
            <w:vAlign w:val="bottom"/>
          </w:tcPr>
          <w:p w:rsidR="00DE4235" w:rsidRPr="00DE4235" w:rsidRDefault="00DE4235" w:rsidP="00A56790">
            <w:pPr>
              <w:spacing w:after="0" w:line="240" w:lineRule="auto"/>
              <w:jc w:val="right"/>
              <w:rPr>
                <w:rFonts w:ascii="Arial" w:eastAsia="Times New Roman" w:hAnsi="Arial" w:cs="Arial"/>
                <w:color w:val="000000"/>
                <w:sz w:val="18"/>
                <w:szCs w:val="18"/>
                <w:lang w:eastAsia="es-ES"/>
              </w:rPr>
            </w:pPr>
          </w:p>
        </w:tc>
      </w:tr>
      <w:tr w:rsidR="00A56790" w:rsidRPr="00596E02" w:rsidTr="00A56790">
        <w:trPr>
          <w:trHeight w:val="214"/>
        </w:trPr>
        <w:tc>
          <w:tcPr>
            <w:tcW w:w="1467" w:type="dxa"/>
            <w:tcBorders>
              <w:top w:val="nil"/>
              <w:left w:val="single" w:sz="8" w:space="0" w:color="auto"/>
              <w:bottom w:val="single" w:sz="8" w:space="0" w:color="auto"/>
              <w:right w:val="nil"/>
            </w:tcBorders>
            <w:shd w:val="clear" w:color="000000" w:fill="9BC2E6"/>
            <w:noWrap/>
            <w:vAlign w:val="bottom"/>
            <w:hideMark/>
          </w:tcPr>
          <w:p w:rsidR="00A56790" w:rsidRPr="00596E02" w:rsidRDefault="00A56790" w:rsidP="00A56790">
            <w:pPr>
              <w:spacing w:after="0" w:line="240" w:lineRule="auto"/>
              <w:rPr>
                <w:rFonts w:ascii="Arial" w:eastAsia="Times New Roman" w:hAnsi="Arial" w:cs="Arial"/>
                <w:b/>
                <w:bCs/>
                <w:color w:val="000000"/>
                <w:sz w:val="18"/>
                <w:szCs w:val="18"/>
                <w:lang w:eastAsia="es-ES"/>
              </w:rPr>
            </w:pPr>
            <w:r w:rsidRPr="00596E02">
              <w:rPr>
                <w:rFonts w:ascii="Arial" w:eastAsia="Times New Roman" w:hAnsi="Arial" w:cs="Arial"/>
                <w:b/>
                <w:bCs/>
                <w:color w:val="000000"/>
                <w:sz w:val="18"/>
                <w:szCs w:val="18"/>
                <w:lang w:eastAsia="es-ES"/>
              </w:rPr>
              <w:t>TOTAL</w:t>
            </w:r>
          </w:p>
        </w:tc>
        <w:tc>
          <w:tcPr>
            <w:tcW w:w="4504" w:type="dxa"/>
            <w:tcBorders>
              <w:top w:val="nil"/>
              <w:left w:val="nil"/>
              <w:bottom w:val="single" w:sz="8" w:space="0" w:color="auto"/>
              <w:right w:val="nil"/>
            </w:tcBorders>
            <w:shd w:val="clear" w:color="000000" w:fill="9BC2E6"/>
            <w:noWrap/>
            <w:vAlign w:val="bottom"/>
            <w:hideMark/>
          </w:tcPr>
          <w:p w:rsidR="00A56790" w:rsidRPr="00596E02" w:rsidRDefault="00A56790" w:rsidP="00A56790">
            <w:pPr>
              <w:spacing w:after="0" w:line="240" w:lineRule="auto"/>
              <w:rPr>
                <w:rFonts w:ascii="Arial" w:eastAsia="Times New Roman" w:hAnsi="Arial" w:cs="Arial"/>
                <w:b/>
                <w:bCs/>
                <w:color w:val="000000"/>
                <w:sz w:val="18"/>
                <w:szCs w:val="18"/>
                <w:lang w:eastAsia="es-ES"/>
              </w:rPr>
            </w:pPr>
            <w:r w:rsidRPr="00596E02">
              <w:rPr>
                <w:rFonts w:ascii="Arial" w:eastAsia="Times New Roman" w:hAnsi="Arial" w:cs="Arial"/>
                <w:b/>
                <w:bCs/>
                <w:color w:val="000000"/>
                <w:sz w:val="18"/>
                <w:szCs w:val="18"/>
                <w:lang w:eastAsia="es-ES"/>
              </w:rPr>
              <w:t> </w:t>
            </w:r>
          </w:p>
        </w:tc>
        <w:tc>
          <w:tcPr>
            <w:tcW w:w="1392" w:type="dxa"/>
            <w:tcBorders>
              <w:top w:val="nil"/>
              <w:left w:val="nil"/>
              <w:bottom w:val="single" w:sz="8" w:space="0" w:color="auto"/>
              <w:right w:val="nil"/>
            </w:tcBorders>
            <w:shd w:val="clear" w:color="000000" w:fill="9BC2E6"/>
            <w:noWrap/>
            <w:vAlign w:val="bottom"/>
            <w:hideMark/>
          </w:tcPr>
          <w:p w:rsidR="00A56790" w:rsidRPr="00596E02" w:rsidRDefault="00A56790" w:rsidP="00A56790">
            <w:pPr>
              <w:spacing w:after="0" w:line="240" w:lineRule="auto"/>
              <w:jc w:val="right"/>
              <w:rPr>
                <w:rFonts w:ascii="Arial" w:eastAsia="Times New Roman" w:hAnsi="Arial" w:cs="Arial"/>
                <w:b/>
                <w:bCs/>
                <w:color w:val="000000"/>
                <w:sz w:val="18"/>
                <w:szCs w:val="18"/>
                <w:lang w:eastAsia="es-ES"/>
              </w:rPr>
            </w:pPr>
            <w:r w:rsidRPr="00596E02">
              <w:rPr>
                <w:rFonts w:ascii="Arial" w:eastAsia="Times New Roman" w:hAnsi="Arial" w:cs="Arial"/>
                <w:b/>
                <w:bCs/>
                <w:color w:val="000000"/>
                <w:sz w:val="18"/>
                <w:szCs w:val="18"/>
                <w:lang w:eastAsia="es-ES"/>
              </w:rPr>
              <w:t>972,715,409.62</w:t>
            </w:r>
          </w:p>
        </w:tc>
        <w:tc>
          <w:tcPr>
            <w:tcW w:w="1392" w:type="dxa"/>
            <w:tcBorders>
              <w:top w:val="nil"/>
              <w:left w:val="nil"/>
              <w:bottom w:val="single" w:sz="8" w:space="0" w:color="auto"/>
              <w:right w:val="nil"/>
            </w:tcBorders>
            <w:shd w:val="clear" w:color="000000" w:fill="9BC2E6"/>
            <w:noWrap/>
            <w:vAlign w:val="bottom"/>
            <w:hideMark/>
          </w:tcPr>
          <w:p w:rsidR="00A56790" w:rsidRPr="00596E02" w:rsidRDefault="00A56790" w:rsidP="00A56790">
            <w:pPr>
              <w:spacing w:after="0" w:line="240" w:lineRule="auto"/>
              <w:jc w:val="right"/>
              <w:rPr>
                <w:rFonts w:ascii="Arial" w:eastAsia="Times New Roman" w:hAnsi="Arial" w:cs="Arial"/>
                <w:b/>
                <w:bCs/>
                <w:color w:val="000000"/>
                <w:sz w:val="18"/>
                <w:szCs w:val="18"/>
                <w:lang w:eastAsia="es-ES"/>
              </w:rPr>
            </w:pPr>
            <w:r w:rsidRPr="00596E02">
              <w:rPr>
                <w:rFonts w:ascii="Arial" w:eastAsia="Times New Roman" w:hAnsi="Arial" w:cs="Arial"/>
                <w:b/>
                <w:bCs/>
                <w:color w:val="000000"/>
                <w:sz w:val="18"/>
                <w:szCs w:val="18"/>
                <w:lang w:eastAsia="es-ES"/>
              </w:rPr>
              <w:t>235,941,004.97</w:t>
            </w:r>
          </w:p>
        </w:tc>
        <w:tc>
          <w:tcPr>
            <w:tcW w:w="1170" w:type="dxa"/>
            <w:tcBorders>
              <w:top w:val="nil"/>
              <w:left w:val="nil"/>
              <w:bottom w:val="single" w:sz="8" w:space="0" w:color="auto"/>
              <w:right w:val="single" w:sz="8" w:space="0" w:color="auto"/>
            </w:tcBorders>
            <w:shd w:val="clear" w:color="000000" w:fill="9BC2E6"/>
            <w:noWrap/>
            <w:vAlign w:val="bottom"/>
            <w:hideMark/>
          </w:tcPr>
          <w:p w:rsidR="00A56790" w:rsidRPr="00596E02" w:rsidRDefault="00A56790" w:rsidP="00A56790">
            <w:pPr>
              <w:spacing w:after="0" w:line="240" w:lineRule="auto"/>
              <w:jc w:val="right"/>
              <w:rPr>
                <w:rFonts w:ascii="Arial" w:eastAsia="Times New Roman" w:hAnsi="Arial" w:cs="Arial"/>
                <w:b/>
                <w:bCs/>
                <w:color w:val="000000"/>
                <w:sz w:val="18"/>
                <w:szCs w:val="18"/>
                <w:lang w:eastAsia="es-ES"/>
              </w:rPr>
            </w:pPr>
            <w:r w:rsidRPr="00596E02">
              <w:rPr>
                <w:rFonts w:ascii="Arial" w:eastAsia="Times New Roman" w:hAnsi="Arial" w:cs="Arial"/>
                <w:b/>
                <w:bCs/>
                <w:color w:val="000000"/>
                <w:sz w:val="18"/>
                <w:szCs w:val="18"/>
                <w:lang w:eastAsia="es-ES"/>
              </w:rPr>
              <w:t>76%</w:t>
            </w:r>
          </w:p>
        </w:tc>
      </w:tr>
    </w:tbl>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A56790" w:rsidRDefault="00A56790" w:rsidP="006D46D3">
      <w:pPr>
        <w:tabs>
          <w:tab w:val="left" w:pos="2955"/>
        </w:tabs>
        <w:ind w:left="360"/>
        <w:jc w:val="both"/>
        <w:rPr>
          <w:rFonts w:ascii="Arial" w:hAnsi="Arial" w:cs="Arial"/>
          <w:sz w:val="20"/>
          <w:szCs w:val="20"/>
        </w:rPr>
      </w:pPr>
    </w:p>
    <w:p w:rsidR="006D46D3" w:rsidRDefault="006D46D3" w:rsidP="006D46D3">
      <w:pPr>
        <w:tabs>
          <w:tab w:val="left" w:pos="2955"/>
        </w:tabs>
        <w:ind w:left="360"/>
        <w:jc w:val="both"/>
        <w:rPr>
          <w:rFonts w:ascii="Arial" w:hAnsi="Arial" w:cs="Arial"/>
          <w:sz w:val="20"/>
          <w:szCs w:val="20"/>
        </w:rPr>
      </w:pPr>
      <w:r>
        <w:rPr>
          <w:rFonts w:ascii="Arial" w:hAnsi="Arial" w:cs="Arial"/>
          <w:sz w:val="20"/>
          <w:szCs w:val="20"/>
        </w:rPr>
        <w:tab/>
      </w:r>
    </w:p>
    <w:p w:rsidR="00A56790" w:rsidRDefault="00A56790" w:rsidP="00047625">
      <w:pPr>
        <w:jc w:val="both"/>
        <w:rPr>
          <w:rFonts w:ascii="Arial" w:hAnsi="Arial" w:cs="Arial"/>
          <w:b/>
          <w:sz w:val="20"/>
          <w:szCs w:val="20"/>
        </w:rPr>
      </w:pPr>
    </w:p>
    <w:p w:rsidR="00A56790" w:rsidRDefault="00A56790" w:rsidP="00047625">
      <w:pPr>
        <w:jc w:val="both"/>
        <w:rPr>
          <w:rFonts w:ascii="Arial" w:hAnsi="Arial" w:cs="Arial"/>
          <w:b/>
          <w:sz w:val="20"/>
          <w:szCs w:val="20"/>
        </w:rPr>
      </w:pPr>
    </w:p>
    <w:p w:rsidR="00A56790" w:rsidRDefault="00A56790" w:rsidP="00047625">
      <w:pPr>
        <w:jc w:val="both"/>
        <w:rPr>
          <w:rFonts w:ascii="Arial" w:hAnsi="Arial" w:cs="Arial"/>
          <w:b/>
          <w:sz w:val="20"/>
          <w:szCs w:val="20"/>
        </w:rPr>
      </w:pPr>
    </w:p>
    <w:p w:rsidR="00A56790" w:rsidRDefault="00A56790" w:rsidP="00047625">
      <w:pPr>
        <w:jc w:val="both"/>
        <w:rPr>
          <w:rFonts w:ascii="Arial" w:hAnsi="Arial" w:cs="Arial"/>
          <w:b/>
          <w:sz w:val="20"/>
          <w:szCs w:val="20"/>
        </w:rPr>
      </w:pPr>
    </w:p>
    <w:p w:rsidR="00A56790" w:rsidRDefault="00A56790" w:rsidP="00047625">
      <w:pPr>
        <w:jc w:val="both"/>
        <w:rPr>
          <w:rFonts w:ascii="Arial" w:hAnsi="Arial" w:cs="Arial"/>
          <w:b/>
          <w:sz w:val="20"/>
          <w:szCs w:val="20"/>
        </w:rPr>
      </w:pPr>
    </w:p>
    <w:p w:rsidR="00DE4235" w:rsidRDefault="00DE4235" w:rsidP="00047625">
      <w:pPr>
        <w:jc w:val="both"/>
        <w:rPr>
          <w:rFonts w:ascii="Arial" w:hAnsi="Arial" w:cs="Arial"/>
          <w:b/>
          <w:sz w:val="20"/>
          <w:szCs w:val="20"/>
        </w:rPr>
      </w:pPr>
    </w:p>
    <w:p w:rsidR="00DE4235" w:rsidRDefault="00DE423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E97A8B" w:rsidP="00047625">
      <w:pPr>
        <w:jc w:val="both"/>
        <w:rPr>
          <w:rFonts w:ascii="Arial" w:hAnsi="Arial" w:cs="Arial"/>
          <w:sz w:val="20"/>
          <w:szCs w:val="20"/>
        </w:rPr>
      </w:pPr>
      <w:r>
        <w:rPr>
          <w:rFonts w:ascii="Arial" w:hAnsi="Arial" w:cs="Arial"/>
          <w:sz w:val="20"/>
          <w:szCs w:val="20"/>
        </w:rPr>
        <w:t>* Se anexará</w:t>
      </w:r>
      <w:r w:rsidR="00047625" w:rsidRPr="0030393A">
        <w:rPr>
          <w:rFonts w:ascii="Arial" w:hAnsi="Arial" w:cs="Arial"/>
          <w:sz w:val="20"/>
          <w:szCs w:val="20"/>
        </w:rPr>
        <w:t xml:space="preserve"> la información en las notas de desglose.</w:t>
      </w:r>
      <w:r w:rsidR="00047625" w:rsidRPr="0030393A">
        <w:rPr>
          <w:rFonts w:ascii="Arial" w:hAnsi="Arial" w:cs="Arial"/>
          <w:sz w:val="20"/>
          <w:szCs w:val="20"/>
        </w:rPr>
        <w:tab/>
      </w:r>
      <w:r w:rsidR="00047625" w:rsidRPr="0030393A">
        <w:rPr>
          <w:rFonts w:ascii="Arial" w:hAnsi="Arial" w:cs="Arial"/>
          <w:sz w:val="20"/>
          <w:szCs w:val="20"/>
        </w:rPr>
        <w:tab/>
      </w:r>
      <w:r w:rsidR="00047625" w:rsidRPr="0030393A">
        <w:rPr>
          <w:rFonts w:ascii="Arial" w:hAnsi="Arial" w:cs="Arial"/>
          <w:sz w:val="20"/>
          <w:szCs w:val="20"/>
        </w:rPr>
        <w:tab/>
      </w:r>
      <w:r w:rsidR="00047625" w:rsidRPr="0030393A">
        <w:rPr>
          <w:rFonts w:ascii="Arial" w:hAnsi="Arial" w:cs="Arial"/>
          <w:sz w:val="20"/>
          <w:szCs w:val="20"/>
        </w:rPr>
        <w:tab/>
      </w:r>
      <w:r w:rsidR="00047625"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 xml:space="preserve">proceso de </w:t>
      </w:r>
      <w:proofErr w:type="gramStart"/>
      <w:r w:rsidRPr="0089363B">
        <w:rPr>
          <w:rFonts w:ascii="Arial" w:hAnsi="Arial" w:cs="Arial"/>
          <w:sz w:val="20"/>
          <w:szCs w:val="20"/>
          <w:u w:val="single"/>
          <w:lang w:val="es-ES"/>
        </w:rPr>
        <w:t>compra  por</w:t>
      </w:r>
      <w:proofErr w:type="gramEnd"/>
      <w:r w:rsidRPr="0089363B">
        <w:rPr>
          <w:rFonts w:ascii="Arial" w:hAnsi="Arial" w:cs="Arial"/>
          <w:sz w:val="20"/>
          <w:szCs w:val="20"/>
          <w:u w:val="single"/>
          <w:lang w:val="es-ES"/>
        </w:rPr>
        <w:t xml:space="preserve">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AF3-280 Regular las bases de operación para la distribución </w:t>
      </w:r>
      <w:proofErr w:type="gramStart"/>
      <w:r w:rsidRPr="0089363B">
        <w:rPr>
          <w:rFonts w:ascii="Arial" w:hAnsi="Arial" w:cs="Arial"/>
          <w:sz w:val="20"/>
          <w:szCs w:val="20"/>
          <w:u w:val="single"/>
          <w:lang w:val="es-ES"/>
        </w:rPr>
        <w:t>de  bienes</w:t>
      </w:r>
      <w:proofErr w:type="gramEnd"/>
      <w:r w:rsidRPr="0089363B">
        <w:rPr>
          <w:rFonts w:ascii="Arial" w:hAnsi="Arial" w:cs="Arial"/>
          <w:sz w:val="20"/>
          <w:szCs w:val="20"/>
          <w:u w:val="single"/>
          <w:lang w:val="es-ES"/>
        </w:rPr>
        <w:t xml:space="preserve">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proofErr w:type="gramStart"/>
      <w:r w:rsidRPr="0089363B">
        <w:rPr>
          <w:rFonts w:ascii="Arial" w:hAnsi="Arial" w:cs="Arial"/>
          <w:bCs/>
          <w:sz w:val="20"/>
          <w:szCs w:val="20"/>
          <w:u w:val="single"/>
          <w:lang w:val="es-ES"/>
        </w:rPr>
        <w:t>Estandarizar  y</w:t>
      </w:r>
      <w:proofErr w:type="gramEnd"/>
      <w:r w:rsidRPr="0089363B">
        <w:rPr>
          <w:rFonts w:ascii="Arial" w:hAnsi="Arial" w:cs="Arial"/>
          <w:bCs/>
          <w:sz w:val="20"/>
          <w:szCs w:val="20"/>
          <w:u w:val="single"/>
          <w:lang w:val="es-ES"/>
        </w:rPr>
        <w:t xml:space="preserve">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 xml:space="preserve">POL- AF3-009 Regular las bases para la emisión de pagos </w:t>
      </w:r>
      <w:proofErr w:type="gramStart"/>
      <w:r w:rsidRPr="0089363B">
        <w:rPr>
          <w:rFonts w:ascii="Arial" w:hAnsi="Arial" w:cs="Arial"/>
          <w:bCs/>
          <w:sz w:val="20"/>
          <w:szCs w:val="20"/>
          <w:u w:val="single"/>
          <w:lang w:val="es-ES"/>
        </w:rPr>
        <w:t>por  concepto</w:t>
      </w:r>
      <w:proofErr w:type="gramEnd"/>
      <w:r w:rsidRPr="0089363B">
        <w:rPr>
          <w:rFonts w:ascii="Arial" w:hAnsi="Arial" w:cs="Arial"/>
          <w:bCs/>
          <w:sz w:val="20"/>
          <w:szCs w:val="20"/>
          <w:u w:val="single"/>
          <w:lang w:val="es-ES"/>
        </w:rPr>
        <w:t xml:space="preserve">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w:t>
      </w:r>
      <w:proofErr w:type="gramStart"/>
      <w:r w:rsidRPr="0089363B">
        <w:rPr>
          <w:rFonts w:ascii="Arial" w:hAnsi="Arial" w:cs="Arial"/>
          <w:bCs/>
          <w:sz w:val="20"/>
          <w:szCs w:val="20"/>
          <w:u w:val="single"/>
          <w:lang w:val="es-ES"/>
        </w:rPr>
        <w:t>las  cifras</w:t>
      </w:r>
      <w:proofErr w:type="gramEnd"/>
      <w:r w:rsidRPr="0089363B">
        <w:rPr>
          <w:rFonts w:ascii="Arial" w:hAnsi="Arial" w:cs="Arial"/>
          <w:bCs/>
          <w:sz w:val="20"/>
          <w:szCs w:val="20"/>
          <w:u w:val="single"/>
          <w:lang w:val="es-ES"/>
        </w:rPr>
        <w:t xml:space="preserve">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 xml:space="preserve">Como medida de desempeño financiero se </w:t>
      </w:r>
      <w:proofErr w:type="spellStart"/>
      <w:r w:rsidRPr="00A37451">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 xml:space="preserve">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w:t>
      </w:r>
      <w:proofErr w:type="spellStart"/>
      <w:r w:rsidRPr="00916986">
        <w:rPr>
          <w:rFonts w:ascii="Arial" w:hAnsi="Arial" w:cs="Arial"/>
          <w:sz w:val="20"/>
          <w:szCs w:val="20"/>
          <w:u w:val="single"/>
        </w:rPr>
        <w:t>análisis.Como</w:t>
      </w:r>
      <w:proofErr w:type="spellEnd"/>
      <w:r w:rsidRPr="00916986">
        <w:rPr>
          <w:rFonts w:ascii="Arial" w:hAnsi="Arial" w:cs="Arial"/>
          <w:sz w:val="20"/>
          <w:szCs w:val="20"/>
          <w:u w:val="single"/>
        </w:rPr>
        <w:t xml:space="preserve"> medida para la eficiencia terminal del bachillerato se toma el número de estudiantes egresados de la generación N, con relación al número de estudiantes de nuevo ingreso de la generación </w:t>
      </w:r>
      <w:proofErr w:type="spellStart"/>
      <w:r w:rsidRPr="00916986">
        <w:rPr>
          <w:rFonts w:ascii="Arial" w:hAnsi="Arial" w:cs="Arial"/>
          <w:sz w:val="20"/>
          <w:szCs w:val="20"/>
          <w:u w:val="single"/>
        </w:rPr>
        <w:t>N.En</w:t>
      </w:r>
      <w:proofErr w:type="spellEnd"/>
      <w:r w:rsidRPr="00916986">
        <w:rPr>
          <w:rFonts w:ascii="Arial" w:hAnsi="Arial" w:cs="Arial"/>
          <w:sz w:val="20"/>
          <w:szCs w:val="20"/>
          <w:u w:val="single"/>
        </w:rPr>
        <w:t xml:space="preserve">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w:t>
      </w:r>
      <w:r w:rsidRPr="0030393A">
        <w:rPr>
          <w:rFonts w:ascii="Arial" w:hAnsi="Arial" w:cs="Arial"/>
          <w:sz w:val="20"/>
          <w:szCs w:val="20"/>
        </w:rPr>
        <w:lastRenderedPageBreak/>
        <w:t>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E2EFA">
        <w:rPr>
          <w:rFonts w:ascii="Arial" w:hAnsi="Arial" w:cs="Arial"/>
          <w:sz w:val="20"/>
          <w:szCs w:val="20"/>
        </w:rPr>
        <w:t>afectan  económicamente</w:t>
      </w:r>
      <w:proofErr w:type="gramEnd"/>
      <w:r w:rsidRPr="009E2EFA">
        <w:rPr>
          <w:rFonts w:ascii="Arial" w:hAnsi="Arial" w:cs="Arial"/>
          <w:sz w:val="20"/>
          <w:szCs w:val="20"/>
        </w:rPr>
        <w:t xml:space="preserv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1" o:title=""/>
          </v:shape>
          <o:OLEObject Type="Embed" ProgID="Excel.Sheet.12" ShapeID="_x0000_i1025" DrawAspect="Content" ObjectID="_1617013927" r:id="rId12"/>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DE4235">
      <w:headerReference w:type="default" r:id="rId13"/>
      <w:footerReference w:type="default" r:id="rId14"/>
      <w:pgSz w:w="15840" w:h="12240" w:orient="landscape"/>
      <w:pgMar w:top="1701" w:right="1417" w:bottom="142"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E6" w:rsidRDefault="00C70CE6">
      <w:pPr>
        <w:spacing w:after="0" w:line="240" w:lineRule="auto"/>
      </w:pPr>
      <w:r>
        <w:separator/>
      </w:r>
    </w:p>
  </w:endnote>
  <w:endnote w:type="continuationSeparator" w:id="0">
    <w:p w:rsidR="00C70CE6" w:rsidRDefault="00C7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C70CE6">
    <w:pPr>
      <w:pStyle w:val="Piedepgina"/>
      <w:jc w:val="right"/>
    </w:pPr>
  </w:p>
  <w:p w:rsidR="00723817" w:rsidRDefault="00C70CE6"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E6" w:rsidRDefault="00C70CE6">
      <w:pPr>
        <w:spacing w:after="0" w:line="240" w:lineRule="auto"/>
      </w:pPr>
      <w:r>
        <w:separator/>
      </w:r>
    </w:p>
  </w:footnote>
  <w:footnote w:type="continuationSeparator" w:id="0">
    <w:p w:rsidR="00C70CE6" w:rsidRDefault="00C7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431D"/>
    <w:rsid w:val="00047625"/>
    <w:rsid w:val="000820C1"/>
    <w:rsid w:val="00096739"/>
    <w:rsid w:val="00131C72"/>
    <w:rsid w:val="00154051"/>
    <w:rsid w:val="001E01ED"/>
    <w:rsid w:val="00232069"/>
    <w:rsid w:val="002D2C7E"/>
    <w:rsid w:val="002E3843"/>
    <w:rsid w:val="00393B28"/>
    <w:rsid w:val="004049C8"/>
    <w:rsid w:val="00420C79"/>
    <w:rsid w:val="00515DCE"/>
    <w:rsid w:val="00517051"/>
    <w:rsid w:val="00551CD7"/>
    <w:rsid w:val="005B42B8"/>
    <w:rsid w:val="005F3F90"/>
    <w:rsid w:val="006B0AF3"/>
    <w:rsid w:val="006D35B5"/>
    <w:rsid w:val="006D46D3"/>
    <w:rsid w:val="006D5AAF"/>
    <w:rsid w:val="006E47CD"/>
    <w:rsid w:val="00717300"/>
    <w:rsid w:val="007F1FEA"/>
    <w:rsid w:val="00814D4B"/>
    <w:rsid w:val="00816CBF"/>
    <w:rsid w:val="008A76C1"/>
    <w:rsid w:val="009134D1"/>
    <w:rsid w:val="0092151F"/>
    <w:rsid w:val="009473BD"/>
    <w:rsid w:val="009553F6"/>
    <w:rsid w:val="0097315B"/>
    <w:rsid w:val="00985FD5"/>
    <w:rsid w:val="009904E0"/>
    <w:rsid w:val="00A55184"/>
    <w:rsid w:val="00A56790"/>
    <w:rsid w:val="00AA1C8E"/>
    <w:rsid w:val="00B24D09"/>
    <w:rsid w:val="00B6214F"/>
    <w:rsid w:val="00B711A5"/>
    <w:rsid w:val="00BD27F8"/>
    <w:rsid w:val="00BE27E3"/>
    <w:rsid w:val="00C57A1B"/>
    <w:rsid w:val="00C70CE6"/>
    <w:rsid w:val="00D1283C"/>
    <w:rsid w:val="00D412C7"/>
    <w:rsid w:val="00D57B02"/>
    <w:rsid w:val="00DC5D3B"/>
    <w:rsid w:val="00DC5E9C"/>
    <w:rsid w:val="00DE4235"/>
    <w:rsid w:val="00E97A8B"/>
    <w:rsid w:val="00EA5280"/>
    <w:rsid w:val="00EB2781"/>
    <w:rsid w:val="00ED53B5"/>
    <w:rsid w:val="00F12AB1"/>
    <w:rsid w:val="00F913FB"/>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Excel.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32BE-429F-48FE-8207-C5AB4CDC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2833</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2019-04-12T19:16:00Z</cp:lastPrinted>
  <dcterms:created xsi:type="dcterms:W3CDTF">2019-04-17T18:46:00Z</dcterms:created>
  <dcterms:modified xsi:type="dcterms:W3CDTF">2019-04-17T18:46:00Z</dcterms:modified>
</cp:coreProperties>
</file>